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2021年度师市市场监管局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政府信息公开年度报告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根据《中华人民共和国政府信息公开条例》（国务院令第711号，以下简称《条例》），现将202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师市市场监督管理局</w:t>
      </w:r>
      <w:r>
        <w:rPr>
          <w:rFonts w:hint="eastAsia" w:ascii="仿宋_GB2312" w:hAnsi="仿宋_GB2312" w:eastAsia="仿宋_GB2312" w:cs="仿宋_GB2312"/>
          <w:sz w:val="32"/>
          <w:szCs w:val="32"/>
        </w:rPr>
        <w:t>政府信息公开工作情况报告如下：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一、总体情况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2021年师市市场监督管理局</w:t>
      </w:r>
      <w:r>
        <w:rPr>
          <w:rFonts w:hint="eastAsia" w:ascii="仿宋_GB2312" w:hAnsi="仿宋_GB2312" w:eastAsia="仿宋_GB2312" w:cs="仿宋_GB2312"/>
          <w:sz w:val="32"/>
          <w:szCs w:val="32"/>
        </w:rPr>
        <w:t>以习近平新时代中国特色社会主义思想为指导，全面贯彻党的十九大和十九届二中、三中、四中、五中</w:t>
      </w:r>
      <w:r>
        <w:rPr>
          <w:rFonts w:hint="eastAsia" w:ascii="仿宋_GB2312" w:hAnsi="仿宋_GB2312" w:eastAsia="仿宋_GB2312" w:cs="仿宋_GB2312"/>
          <w:sz w:val="32"/>
          <w:szCs w:val="32"/>
          <w:lang w:eastAsia="zh-CN"/>
        </w:rPr>
        <w:t>、六中</w:t>
      </w:r>
      <w:r>
        <w:rPr>
          <w:rFonts w:hint="eastAsia" w:ascii="仿宋_GB2312" w:hAnsi="仿宋_GB2312" w:eastAsia="仿宋_GB2312" w:cs="仿宋_GB2312"/>
          <w:sz w:val="32"/>
          <w:szCs w:val="32"/>
        </w:rPr>
        <w:t>全会精神，坚持以人民为中心的发展思想，深入落实《条例》和政务公开有关工作部署，全面推进重点领域信息公开，不断提升政府信息公开工作实效，增进</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群众对市场监管工作的满意度，推动市场监管工作高质量发展。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rPr>
        <w:t>在主动公开方面，我局</w:t>
      </w:r>
      <w:r>
        <w:rPr>
          <w:rFonts w:hint="eastAsia" w:ascii="仿宋_GB2312" w:hAnsi="仿宋_GB2312" w:eastAsia="仿宋_GB2312" w:cs="仿宋_GB2312"/>
          <w:b w:val="0"/>
          <w:bCs w:val="0"/>
          <w:color w:val="auto"/>
          <w:sz w:val="32"/>
          <w:szCs w:val="32"/>
          <w:u w:val="none"/>
          <w:lang w:eastAsia="zh-CN"/>
        </w:rPr>
        <w:t>在各平台发布信息共计</w:t>
      </w:r>
      <w:r>
        <w:rPr>
          <w:rFonts w:hint="eastAsia" w:ascii="仿宋_GB2312" w:hAnsi="仿宋_GB2312" w:eastAsia="仿宋_GB2312" w:cs="仿宋_GB2312"/>
          <w:b w:val="0"/>
          <w:bCs w:val="0"/>
          <w:color w:val="auto"/>
          <w:sz w:val="32"/>
          <w:szCs w:val="32"/>
          <w:u w:val="none"/>
          <w:lang w:val="en-US" w:eastAsia="zh-CN"/>
        </w:rPr>
        <w:t>10348条。</w:t>
      </w:r>
      <w:r>
        <w:rPr>
          <w:rFonts w:hint="eastAsia" w:ascii="仿宋_GB2312" w:hAnsi="仿宋_GB2312" w:eastAsia="仿宋_GB2312" w:cs="仿宋_GB2312"/>
          <w:b w:val="0"/>
          <w:bCs w:val="0"/>
          <w:color w:val="auto"/>
          <w:sz w:val="32"/>
          <w:szCs w:val="32"/>
          <w:u w:val="none"/>
          <w:lang w:eastAsia="zh-CN"/>
        </w:rPr>
        <w:t>在师市门户网站公示第六师五家渠市市场监管局权力清单和责任清单，发布工作信息</w:t>
      </w:r>
      <w:r>
        <w:rPr>
          <w:rFonts w:hint="eastAsia" w:ascii="仿宋_GB2312" w:hAnsi="仿宋_GB2312" w:eastAsia="仿宋_GB2312" w:cs="仿宋_GB2312"/>
          <w:b w:val="0"/>
          <w:bCs w:val="0"/>
          <w:color w:val="auto"/>
          <w:sz w:val="32"/>
          <w:szCs w:val="32"/>
          <w:u w:val="none"/>
          <w:lang w:val="en-US" w:eastAsia="zh-CN"/>
        </w:rPr>
        <w:t>456条</w:t>
      </w:r>
      <w:r>
        <w:rPr>
          <w:rFonts w:hint="eastAsia" w:ascii="仿宋_GB2312" w:hAnsi="仿宋_GB2312" w:eastAsia="仿宋_GB2312" w:cs="仿宋_GB2312"/>
          <w:b w:val="0"/>
          <w:bCs w:val="0"/>
          <w:color w:val="auto"/>
          <w:sz w:val="32"/>
          <w:szCs w:val="32"/>
          <w:u w:val="none"/>
          <w:lang w:eastAsia="zh-CN"/>
        </w:rPr>
        <w:t>，其中新闻稿件</w:t>
      </w:r>
      <w:r>
        <w:rPr>
          <w:rFonts w:hint="eastAsia" w:ascii="仿宋_GB2312" w:hAnsi="仿宋_GB2312" w:eastAsia="仿宋_GB2312" w:cs="仿宋_GB2312"/>
          <w:b w:val="0"/>
          <w:bCs w:val="0"/>
          <w:color w:val="auto"/>
          <w:sz w:val="32"/>
          <w:szCs w:val="32"/>
          <w:u w:val="none"/>
          <w:lang w:val="en-US" w:eastAsia="zh-CN"/>
        </w:rPr>
        <w:t>393条，通知公告6条，民生关注1条，专题信息1条，食品安全信息55条。在信用中国平台发布“双公示”信息9202条，其中行政许可公示9155条，行政处罚公示47条。在兵团胡杨网发布工作信息13条。在国家企业信用信息公示系统公示“</w:t>
      </w:r>
      <w:r>
        <w:rPr>
          <w:rFonts w:hint="eastAsia" w:ascii="仿宋_GB2312" w:hAnsi="仿宋_GB2312" w:eastAsia="仿宋_GB2312" w:cs="仿宋_GB2312"/>
          <w:b w:val="0"/>
          <w:bCs w:val="0"/>
          <w:sz w:val="32"/>
          <w:szCs w:val="32"/>
          <w:u w:val="none"/>
          <w:lang w:val="en-US" w:eastAsia="zh-CN"/>
        </w:rPr>
        <w:t>双随机一公开”抽查检查结果59</w:t>
      </w:r>
      <w:bookmarkStart w:id="0" w:name="_GoBack"/>
      <w:bookmarkEnd w:id="0"/>
      <w:r>
        <w:rPr>
          <w:rFonts w:hint="eastAsia" w:ascii="仿宋_GB2312" w:hAnsi="仿宋_GB2312" w:eastAsia="仿宋_GB2312" w:cs="仿宋_GB2312"/>
          <w:b w:val="0"/>
          <w:bCs w:val="0"/>
          <w:sz w:val="32"/>
          <w:szCs w:val="32"/>
          <w:u w:val="none"/>
          <w:lang w:val="en-US" w:eastAsia="zh-CN"/>
        </w:rPr>
        <w:t>3条。</w:t>
      </w:r>
      <w:r>
        <w:rPr>
          <w:rFonts w:hint="eastAsia" w:ascii="仿宋_GB2312" w:hAnsi="仿宋_GB2312" w:eastAsia="仿宋_GB2312" w:cs="仿宋_GB2312"/>
          <w:b w:val="0"/>
          <w:bCs w:val="0"/>
          <w:color w:val="auto"/>
          <w:sz w:val="32"/>
          <w:szCs w:val="32"/>
          <w:u w:val="none"/>
          <w:lang w:val="en-US" w:eastAsia="zh-CN"/>
        </w:rPr>
        <w:t>在兵团政务服务网公示六类依申请及公共服务类信息83条，其中行政许可74条，行政确认2条，行政裁决2条，行政奖励2条，其他行政权力3条。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在依申请公开方面，</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加强从事政府信息公开工作人员的学习培训</w:t>
      </w:r>
      <w:r>
        <w:rPr>
          <w:rFonts w:hint="eastAsia" w:ascii="仿宋_GB2312" w:hAnsi="仿宋_GB2312" w:eastAsia="仿宋_GB2312" w:cs="仿宋_GB2312"/>
          <w:sz w:val="32"/>
          <w:szCs w:val="32"/>
          <w:lang w:eastAsia="zh-CN"/>
        </w:rPr>
        <w:t>，组织人员学习《条例》及</w:t>
      </w:r>
      <w:r>
        <w:rPr>
          <w:rFonts w:hint="eastAsia" w:ascii="仿宋_GB2312" w:hAnsi="仿宋_GB2312" w:eastAsia="仿宋_GB2312" w:cs="仿宋_GB2312"/>
          <w:sz w:val="32"/>
          <w:szCs w:val="32"/>
        </w:rPr>
        <w:t>依申请公开制度，丰富依申请公开方式，规范依申请公开程序，</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提高依申请公开答复的质量和效率。</w:t>
      </w:r>
      <w:r>
        <w:rPr>
          <w:rFonts w:hint="eastAsia" w:ascii="仿宋_GB2312" w:hAnsi="仿宋_GB2312" w:eastAsia="仿宋_GB2312" w:cs="仿宋_GB2312"/>
          <w:sz w:val="32"/>
          <w:szCs w:val="32"/>
          <w:lang w:eastAsia="zh-CN"/>
        </w:rPr>
        <w:t>我局在</w:t>
      </w:r>
      <w:r>
        <w:rPr>
          <w:rFonts w:hint="eastAsia" w:ascii="仿宋_GB2312" w:hAnsi="仿宋_GB2312" w:eastAsia="仿宋_GB2312" w:cs="仿宋_GB2312"/>
          <w:sz w:val="32"/>
          <w:szCs w:val="32"/>
          <w:lang w:val="en-US" w:eastAsia="zh-CN"/>
        </w:rPr>
        <w:t>2021年未收到政府信息公开申请。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2021年，我局没有因政府信息公开工作被申请行政复议及提起行政诉讼。</w:t>
      </w:r>
    </w:p>
    <w:tbl>
      <w:tblPr>
        <w:tblStyle w:val="6"/>
        <w:tblpPr w:leftFromText="180" w:rightFromText="180" w:vertAnchor="text" w:horzAnchor="page" w:tblpX="1650" w:tblpY="1023"/>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1953"/>
        <w:gridCol w:w="2131"/>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55" w:type="dxa"/>
            <w:gridSpan w:val="4"/>
            <w:shd w:val="clear" w:color="auto" w:fill="BDD6EE" w:themeFill="accent1" w:themeFillTint="66"/>
            <w:vAlign w:val="center"/>
          </w:tcPr>
          <w:p>
            <w:pPr>
              <w:tabs>
                <w:tab w:val="left" w:pos="3201"/>
              </w:tabs>
              <w:bidi w:val="0"/>
              <w:jc w:val="both"/>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ab/>
            </w:r>
            <w:r>
              <w:rPr>
                <w:rFonts w:hint="eastAsia" w:ascii="宋体" w:hAnsi="宋体" w:eastAsia="宋体" w:cs="宋体"/>
                <w:sz w:val="24"/>
                <w:szCs w:val="24"/>
                <w:highlight w:val="none"/>
                <w:vertAlign w:val="baseline"/>
                <w:lang w:eastAsia="zh-CN"/>
              </w:rPr>
              <w:t>第二十一条第（一）项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信息内容</w:t>
            </w:r>
          </w:p>
        </w:tc>
        <w:tc>
          <w:tcPr>
            <w:tcW w:w="1953"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本年制发件数</w:t>
            </w:r>
          </w:p>
        </w:tc>
        <w:tc>
          <w:tcPr>
            <w:tcW w:w="2131"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本年废止件数</w:t>
            </w:r>
          </w:p>
        </w:tc>
        <w:tc>
          <w:tcPr>
            <w:tcW w:w="2526"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vAlign w:val="center"/>
          </w:tcPr>
          <w:p>
            <w:pPr>
              <w:bidi w:val="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规章</w:t>
            </w:r>
          </w:p>
        </w:tc>
        <w:tc>
          <w:tcPr>
            <w:tcW w:w="1953"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131"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526"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vAlign w:val="center"/>
          </w:tcPr>
          <w:p>
            <w:pPr>
              <w:bidi w:val="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行政规范性文件</w:t>
            </w:r>
          </w:p>
        </w:tc>
        <w:tc>
          <w:tcPr>
            <w:tcW w:w="1953"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131"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526" w:type="dxa"/>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55" w:type="dxa"/>
            <w:gridSpan w:val="4"/>
            <w:shd w:val="clear" w:color="auto" w:fill="BDD6EE" w:themeFill="accent1" w:themeFillTint="66"/>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tcBorders>
              <w:right w:val="single" w:color="auto" w:sz="4" w:space="0"/>
            </w:tcBorders>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信息内容</w:t>
            </w:r>
          </w:p>
        </w:tc>
        <w:tc>
          <w:tcPr>
            <w:tcW w:w="6610" w:type="dxa"/>
            <w:gridSpan w:val="3"/>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vAlign w:val="center"/>
          </w:tcPr>
          <w:p>
            <w:pPr>
              <w:bidi w:val="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行政许可</w:t>
            </w:r>
          </w:p>
        </w:tc>
        <w:tc>
          <w:tcPr>
            <w:tcW w:w="6610" w:type="dxa"/>
            <w:gridSpan w:val="3"/>
            <w:tcBorders>
              <w:top w:val="single" w:color="auto" w:sz="4" w:space="0"/>
            </w:tcBorders>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55" w:type="dxa"/>
            <w:gridSpan w:val="4"/>
            <w:shd w:val="clear" w:color="auto" w:fill="BDD6EE" w:themeFill="accent1" w:themeFillTint="66"/>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信息内容</w:t>
            </w:r>
          </w:p>
        </w:tc>
        <w:tc>
          <w:tcPr>
            <w:tcW w:w="6610" w:type="dxa"/>
            <w:gridSpan w:val="3"/>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vAlign w:val="center"/>
          </w:tcPr>
          <w:p>
            <w:pPr>
              <w:bidi w:val="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行政处罚</w:t>
            </w:r>
          </w:p>
        </w:tc>
        <w:tc>
          <w:tcPr>
            <w:tcW w:w="6610" w:type="dxa"/>
            <w:gridSpan w:val="3"/>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vAlign w:val="center"/>
          </w:tcPr>
          <w:p>
            <w:pPr>
              <w:bidi w:val="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行政强制</w:t>
            </w:r>
          </w:p>
        </w:tc>
        <w:tc>
          <w:tcPr>
            <w:tcW w:w="6610" w:type="dxa"/>
            <w:gridSpan w:val="3"/>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55" w:type="dxa"/>
            <w:gridSpan w:val="4"/>
            <w:shd w:val="clear" w:color="auto" w:fill="BDD6EE" w:themeFill="accent1" w:themeFillTint="66"/>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信息内容</w:t>
            </w:r>
          </w:p>
        </w:tc>
        <w:tc>
          <w:tcPr>
            <w:tcW w:w="6610" w:type="dxa"/>
            <w:gridSpan w:val="3"/>
            <w:vAlign w:val="center"/>
          </w:tcPr>
          <w:p>
            <w:pPr>
              <w:bidi w:val="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vAlign w:val="center"/>
          </w:tcPr>
          <w:p>
            <w:pPr>
              <w:bidi w:val="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行政事业性收费</w:t>
            </w:r>
          </w:p>
        </w:tc>
        <w:tc>
          <w:tcPr>
            <w:tcW w:w="6610" w:type="dxa"/>
            <w:gridSpan w:val="3"/>
            <w:vAlign w:val="center"/>
          </w:tcPr>
          <w:p>
            <w:p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r>
    </w:tbl>
    <w:p>
      <w:pPr>
        <w:bidi w:val="0"/>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二、主动公开政府信息情况</w:t>
      </w:r>
    </w:p>
    <w:p>
      <w:pPr>
        <w:bidi w:val="0"/>
        <w:rPr>
          <w:rFonts w:hint="eastAsia" w:ascii="黑体" w:hAnsi="黑体" w:eastAsia="黑体" w:cs="黑体"/>
          <w:sz w:val="32"/>
          <w:szCs w:val="32"/>
          <w:lang w:eastAsia="zh-CN"/>
        </w:rPr>
      </w:pP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6"/>
        <w:tblW w:w="9720"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95"/>
        <w:gridCol w:w="3015"/>
        <w:gridCol w:w="810"/>
        <w:gridCol w:w="660"/>
        <w:gridCol w:w="690"/>
        <w:gridCol w:w="752"/>
        <w:gridCol w:w="718"/>
        <w:gridCol w:w="69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gridSpan w:val="3"/>
            <w:vMerge w:val="restart"/>
            <w:vAlign w:val="center"/>
          </w:tcPr>
          <w:p>
            <w:pPr>
              <w:bidi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（本列数据的勾稽关系为：第一项加第二项之和，等于第三项加第四项之和）</w:t>
            </w:r>
          </w:p>
        </w:tc>
        <w:tc>
          <w:tcPr>
            <w:tcW w:w="5025" w:type="dxa"/>
            <w:gridSpan w:val="7"/>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gridSpan w:val="3"/>
            <w:vMerge w:val="continue"/>
            <w:vAlign w:val="center"/>
          </w:tcPr>
          <w:p>
            <w:pPr>
              <w:bidi w:val="0"/>
              <w:jc w:val="center"/>
              <w:rPr>
                <w:rFonts w:hint="eastAsia" w:ascii="宋体" w:hAnsi="宋体" w:eastAsia="宋体" w:cs="宋体"/>
                <w:sz w:val="21"/>
                <w:szCs w:val="21"/>
                <w:vertAlign w:val="baseline"/>
                <w:lang w:eastAsia="zh-CN"/>
              </w:rPr>
            </w:pPr>
          </w:p>
        </w:tc>
        <w:tc>
          <w:tcPr>
            <w:tcW w:w="810" w:type="dxa"/>
            <w:vMerge w:val="restart"/>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自然人</w:t>
            </w:r>
          </w:p>
        </w:tc>
        <w:tc>
          <w:tcPr>
            <w:tcW w:w="3510" w:type="dxa"/>
            <w:gridSpan w:val="5"/>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法人或其他组织</w:t>
            </w:r>
          </w:p>
        </w:tc>
        <w:tc>
          <w:tcPr>
            <w:tcW w:w="705" w:type="dxa"/>
            <w:vMerge w:val="restart"/>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gridSpan w:val="3"/>
            <w:vMerge w:val="continue"/>
            <w:vAlign w:val="center"/>
          </w:tcPr>
          <w:p>
            <w:pPr>
              <w:bidi w:val="0"/>
              <w:jc w:val="center"/>
              <w:rPr>
                <w:rFonts w:hint="eastAsia" w:ascii="宋体" w:hAnsi="宋体" w:eastAsia="宋体" w:cs="宋体"/>
                <w:sz w:val="21"/>
                <w:szCs w:val="21"/>
                <w:vertAlign w:val="baseline"/>
              </w:rPr>
            </w:pPr>
          </w:p>
        </w:tc>
        <w:tc>
          <w:tcPr>
            <w:tcW w:w="810" w:type="dxa"/>
            <w:vMerge w:val="continue"/>
            <w:vAlign w:val="center"/>
          </w:tcPr>
          <w:p>
            <w:pPr>
              <w:bidi w:val="0"/>
              <w:jc w:val="center"/>
              <w:rPr>
                <w:rFonts w:hint="eastAsia" w:ascii="宋体" w:hAnsi="宋体" w:eastAsia="宋体" w:cs="宋体"/>
                <w:sz w:val="21"/>
                <w:szCs w:val="21"/>
                <w:vertAlign w:val="baseline"/>
              </w:rPr>
            </w:pPr>
          </w:p>
        </w:tc>
        <w:tc>
          <w:tcPr>
            <w:tcW w:w="660" w:type="dxa"/>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商业</w:t>
            </w:r>
          </w:p>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企业</w:t>
            </w:r>
          </w:p>
        </w:tc>
        <w:tc>
          <w:tcPr>
            <w:tcW w:w="690" w:type="dxa"/>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科研</w:t>
            </w:r>
          </w:p>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机构</w:t>
            </w:r>
          </w:p>
        </w:tc>
        <w:tc>
          <w:tcPr>
            <w:tcW w:w="752" w:type="dxa"/>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社会</w:t>
            </w:r>
          </w:p>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公益</w:t>
            </w:r>
          </w:p>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组织</w:t>
            </w:r>
          </w:p>
        </w:tc>
        <w:tc>
          <w:tcPr>
            <w:tcW w:w="718" w:type="dxa"/>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法律</w:t>
            </w:r>
          </w:p>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服务</w:t>
            </w:r>
          </w:p>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机构</w:t>
            </w:r>
          </w:p>
        </w:tc>
        <w:tc>
          <w:tcPr>
            <w:tcW w:w="690" w:type="dxa"/>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其他</w:t>
            </w:r>
          </w:p>
        </w:tc>
        <w:tc>
          <w:tcPr>
            <w:tcW w:w="705" w:type="dxa"/>
            <w:vMerge w:val="continue"/>
            <w:vAlign w:val="center"/>
          </w:tcPr>
          <w:p>
            <w:pPr>
              <w:bidi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gridSpan w:val="3"/>
            <w:vAlign w:val="center"/>
          </w:tcPr>
          <w:p>
            <w:pPr>
              <w:bidi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一、本年新收政府信息公开申请数量</w:t>
            </w:r>
          </w:p>
        </w:tc>
        <w:tc>
          <w:tcPr>
            <w:tcW w:w="81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gridSpan w:val="3"/>
            <w:vAlign w:val="center"/>
          </w:tcPr>
          <w:p>
            <w:pPr>
              <w:bidi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二、上年转结政府信息公开申请数量</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restart"/>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三、本年度办理结果</w:t>
            </w:r>
          </w:p>
        </w:tc>
        <w:tc>
          <w:tcPr>
            <w:tcW w:w="3810" w:type="dxa"/>
            <w:gridSpan w:val="2"/>
            <w:vAlign w:val="center"/>
          </w:tcPr>
          <w:p>
            <w:pPr>
              <w:bidi w:val="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（一）予以公开</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3810" w:type="dxa"/>
            <w:gridSpan w:val="2"/>
            <w:vAlign w:val="center"/>
          </w:tcPr>
          <w:p>
            <w:pPr>
              <w:bidi w:val="0"/>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（二）部分公开（区分处理的，只计之一情形，不计其他情形）</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restart"/>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（三）不予公开</w:t>
            </w: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1.属于国家秘密</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2.其他法律行政法规禁止公开</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3.危及“三安全一稳定”</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4.保护第三方合法权益</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5.属于三类内部事务信息</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6.属于四类过程性信息</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7.属于行政执法案卷</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8.属于行政查询事项</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restart"/>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（四）无法提供</w:t>
            </w: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1.本机关不掌握相关政府信息</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2.没有现成信息需要另行制作</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3.补正后申请内容仍不明确</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restart"/>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（五）不予处理</w:t>
            </w: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1.信访举报投诉类申请</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2.重复申请</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3.要求提供公开出版物</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4.无正当理由大量反复申请</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5.要求行政机关确认或重新出具已获取信息</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restart"/>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（六）其他处理</w:t>
            </w: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1.申请人无正当理由逾期不补正、行政机关不再处理其政府信息公开申请</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2.申请人逾期未按收费通知要求缴纳费用、行政机关不再处理其政府信息公开申请</w:t>
            </w:r>
          </w:p>
        </w:tc>
        <w:tc>
          <w:tcPr>
            <w:tcW w:w="81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795" w:type="dxa"/>
            <w:vMerge w:val="continue"/>
            <w:vAlign w:val="center"/>
          </w:tcPr>
          <w:p>
            <w:pPr>
              <w:bidi w:val="0"/>
              <w:jc w:val="center"/>
              <w:rPr>
                <w:rFonts w:hint="eastAsia" w:ascii="宋体" w:hAnsi="宋体" w:eastAsia="宋体" w:cs="宋体"/>
                <w:sz w:val="21"/>
                <w:szCs w:val="21"/>
                <w:vertAlign w:val="baseline"/>
              </w:rPr>
            </w:pPr>
          </w:p>
        </w:tc>
        <w:tc>
          <w:tcPr>
            <w:tcW w:w="3015" w:type="dxa"/>
            <w:vAlign w:val="center"/>
          </w:tcPr>
          <w:p>
            <w:pPr>
              <w:bidi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3.其他</w:t>
            </w:r>
          </w:p>
        </w:tc>
        <w:tc>
          <w:tcPr>
            <w:tcW w:w="81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vAlign w:val="center"/>
          </w:tcPr>
          <w:p>
            <w:pPr>
              <w:bidi w:val="0"/>
              <w:jc w:val="center"/>
              <w:rPr>
                <w:rFonts w:hint="eastAsia" w:ascii="宋体" w:hAnsi="宋体" w:eastAsia="宋体" w:cs="宋体"/>
                <w:sz w:val="21"/>
                <w:szCs w:val="21"/>
                <w:vertAlign w:val="baseline"/>
              </w:rPr>
            </w:pPr>
          </w:p>
        </w:tc>
        <w:tc>
          <w:tcPr>
            <w:tcW w:w="3810" w:type="dxa"/>
            <w:gridSpan w:val="2"/>
            <w:vAlign w:val="center"/>
          </w:tcPr>
          <w:p>
            <w:pPr>
              <w:bidi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（七）总计</w:t>
            </w:r>
          </w:p>
        </w:tc>
        <w:tc>
          <w:tcPr>
            <w:tcW w:w="81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gridSpan w:val="3"/>
            <w:vAlign w:val="center"/>
          </w:tcPr>
          <w:p>
            <w:p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四、转结下年度继续办理</w:t>
            </w:r>
          </w:p>
        </w:tc>
        <w:tc>
          <w:tcPr>
            <w:tcW w:w="81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6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2"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18"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05" w:type="dxa"/>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bl>
    <w:p>
      <w:pPr>
        <w:numPr>
          <w:ilvl w:val="0"/>
          <w:numId w:val="0"/>
        </w:numPr>
        <w:bidi w:val="0"/>
        <w:rPr>
          <w:rFonts w:hint="eastAsia" w:ascii="黑体" w:hAnsi="黑体" w:eastAsia="黑体" w:cs="黑体"/>
          <w:sz w:val="32"/>
          <w:szCs w:val="32"/>
        </w:rPr>
      </w:pPr>
    </w:p>
    <w:p>
      <w:pPr>
        <w:numPr>
          <w:ilvl w:val="0"/>
          <w:numId w:val="0"/>
        </w:numPr>
        <w:bidi w:val="0"/>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tbl>
      <w:tblPr>
        <w:tblStyle w:val="6"/>
        <w:tblW w:w="10200"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45"/>
        <w:gridCol w:w="645"/>
        <w:gridCol w:w="690"/>
        <w:gridCol w:w="660"/>
        <w:gridCol w:w="710"/>
        <w:gridCol w:w="700"/>
        <w:gridCol w:w="705"/>
        <w:gridCol w:w="690"/>
        <w:gridCol w:w="675"/>
        <w:gridCol w:w="675"/>
        <w:gridCol w:w="690"/>
        <w:gridCol w:w="67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375" w:type="dxa"/>
            <w:gridSpan w:val="5"/>
            <w:vAlign w:val="center"/>
          </w:tcPr>
          <w:p>
            <w:pPr>
              <w:widowControl w:val="0"/>
              <w:numPr>
                <w:ilvl w:val="0"/>
                <w:numId w:val="0"/>
              </w:numPr>
              <w:bidi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行政复议</w:t>
            </w:r>
          </w:p>
        </w:tc>
        <w:tc>
          <w:tcPr>
            <w:tcW w:w="6825" w:type="dxa"/>
            <w:gridSpan w:val="10"/>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结果维持</w:t>
            </w:r>
          </w:p>
        </w:tc>
        <w:tc>
          <w:tcPr>
            <w:tcW w:w="690" w:type="dxa"/>
            <w:vMerge w:val="restart"/>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结果纠正</w:t>
            </w:r>
          </w:p>
        </w:tc>
        <w:tc>
          <w:tcPr>
            <w:tcW w:w="645" w:type="dxa"/>
            <w:vMerge w:val="restart"/>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其他结果</w:t>
            </w:r>
          </w:p>
        </w:tc>
        <w:tc>
          <w:tcPr>
            <w:tcW w:w="645" w:type="dxa"/>
            <w:vMerge w:val="restart"/>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尚未审结</w:t>
            </w:r>
          </w:p>
        </w:tc>
        <w:tc>
          <w:tcPr>
            <w:tcW w:w="690" w:type="dxa"/>
            <w:vMerge w:val="restart"/>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总计</w:t>
            </w:r>
          </w:p>
        </w:tc>
        <w:tc>
          <w:tcPr>
            <w:tcW w:w="3465" w:type="dxa"/>
            <w:gridSpan w:val="5"/>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未经复议直接起诉</w:t>
            </w:r>
          </w:p>
        </w:tc>
        <w:tc>
          <w:tcPr>
            <w:tcW w:w="3360" w:type="dxa"/>
            <w:gridSpan w:val="5"/>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pPr>
              <w:widowControl w:val="0"/>
              <w:numPr>
                <w:ilvl w:val="0"/>
                <w:numId w:val="0"/>
              </w:numPr>
              <w:bidi w:val="0"/>
              <w:jc w:val="center"/>
              <w:rPr>
                <w:rFonts w:hint="eastAsia" w:ascii="宋体" w:hAnsi="宋体" w:eastAsia="宋体" w:cs="宋体"/>
                <w:sz w:val="21"/>
                <w:szCs w:val="21"/>
                <w:vertAlign w:val="baseline"/>
              </w:rPr>
            </w:pPr>
          </w:p>
        </w:tc>
        <w:tc>
          <w:tcPr>
            <w:tcW w:w="690" w:type="dxa"/>
            <w:vMerge w:val="continue"/>
            <w:vAlign w:val="center"/>
          </w:tcPr>
          <w:p>
            <w:pPr>
              <w:widowControl w:val="0"/>
              <w:numPr>
                <w:ilvl w:val="0"/>
                <w:numId w:val="0"/>
              </w:numPr>
              <w:bidi w:val="0"/>
              <w:jc w:val="center"/>
              <w:rPr>
                <w:rFonts w:hint="eastAsia" w:ascii="宋体" w:hAnsi="宋体" w:eastAsia="宋体" w:cs="宋体"/>
                <w:sz w:val="21"/>
                <w:szCs w:val="21"/>
                <w:vertAlign w:val="baseline"/>
              </w:rPr>
            </w:pPr>
          </w:p>
        </w:tc>
        <w:tc>
          <w:tcPr>
            <w:tcW w:w="645" w:type="dxa"/>
            <w:vMerge w:val="continue"/>
            <w:vAlign w:val="center"/>
          </w:tcPr>
          <w:p>
            <w:pPr>
              <w:widowControl w:val="0"/>
              <w:numPr>
                <w:ilvl w:val="0"/>
                <w:numId w:val="0"/>
              </w:numPr>
              <w:bidi w:val="0"/>
              <w:jc w:val="center"/>
              <w:rPr>
                <w:rFonts w:hint="eastAsia" w:ascii="宋体" w:hAnsi="宋体" w:eastAsia="宋体" w:cs="宋体"/>
                <w:sz w:val="21"/>
                <w:szCs w:val="21"/>
                <w:vertAlign w:val="baseline"/>
              </w:rPr>
            </w:pPr>
          </w:p>
        </w:tc>
        <w:tc>
          <w:tcPr>
            <w:tcW w:w="645" w:type="dxa"/>
            <w:vMerge w:val="continue"/>
            <w:vAlign w:val="center"/>
          </w:tcPr>
          <w:p>
            <w:pPr>
              <w:widowControl w:val="0"/>
              <w:numPr>
                <w:ilvl w:val="0"/>
                <w:numId w:val="0"/>
              </w:numPr>
              <w:bidi w:val="0"/>
              <w:jc w:val="center"/>
              <w:rPr>
                <w:rFonts w:hint="eastAsia" w:ascii="宋体" w:hAnsi="宋体" w:eastAsia="宋体" w:cs="宋体"/>
                <w:sz w:val="21"/>
                <w:szCs w:val="21"/>
                <w:vertAlign w:val="baseline"/>
              </w:rPr>
            </w:pPr>
          </w:p>
        </w:tc>
        <w:tc>
          <w:tcPr>
            <w:tcW w:w="690" w:type="dxa"/>
            <w:vMerge w:val="continue"/>
            <w:vAlign w:val="center"/>
          </w:tcPr>
          <w:p>
            <w:pPr>
              <w:widowControl w:val="0"/>
              <w:numPr>
                <w:ilvl w:val="0"/>
                <w:numId w:val="0"/>
              </w:numPr>
              <w:bidi w:val="0"/>
              <w:jc w:val="center"/>
              <w:rPr>
                <w:rFonts w:hint="eastAsia" w:ascii="宋体" w:hAnsi="宋体" w:eastAsia="宋体" w:cs="宋体"/>
                <w:sz w:val="21"/>
                <w:szCs w:val="21"/>
                <w:vertAlign w:val="baseline"/>
              </w:rPr>
            </w:pPr>
          </w:p>
        </w:tc>
        <w:tc>
          <w:tcPr>
            <w:tcW w:w="660" w:type="dxa"/>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结果维持</w:t>
            </w:r>
          </w:p>
        </w:tc>
        <w:tc>
          <w:tcPr>
            <w:tcW w:w="710" w:type="dxa"/>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结果纠正</w:t>
            </w:r>
          </w:p>
        </w:tc>
        <w:tc>
          <w:tcPr>
            <w:tcW w:w="700" w:type="dxa"/>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其他结果</w:t>
            </w:r>
          </w:p>
        </w:tc>
        <w:tc>
          <w:tcPr>
            <w:tcW w:w="705" w:type="dxa"/>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尚未审结</w:t>
            </w:r>
          </w:p>
        </w:tc>
        <w:tc>
          <w:tcPr>
            <w:tcW w:w="690" w:type="dxa"/>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总计</w:t>
            </w:r>
          </w:p>
        </w:tc>
        <w:tc>
          <w:tcPr>
            <w:tcW w:w="675" w:type="dxa"/>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结果维持</w:t>
            </w:r>
          </w:p>
        </w:tc>
        <w:tc>
          <w:tcPr>
            <w:tcW w:w="675" w:type="dxa"/>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结果纠正</w:t>
            </w:r>
          </w:p>
        </w:tc>
        <w:tc>
          <w:tcPr>
            <w:tcW w:w="690" w:type="dxa"/>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其他结果</w:t>
            </w:r>
          </w:p>
        </w:tc>
        <w:tc>
          <w:tcPr>
            <w:tcW w:w="675" w:type="dxa"/>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尚未审结</w:t>
            </w:r>
          </w:p>
        </w:tc>
        <w:tc>
          <w:tcPr>
            <w:tcW w:w="645" w:type="dxa"/>
            <w:vAlign w:val="center"/>
          </w:tcPr>
          <w:p>
            <w:pPr>
              <w:widowControl w:val="0"/>
              <w:numPr>
                <w:ilvl w:val="0"/>
                <w:numId w:val="0"/>
              </w:numPr>
              <w:bidi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05"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45"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45"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60"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10"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00"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05"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5"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5"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5"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45" w:type="dxa"/>
            <w:vAlign w:val="center"/>
          </w:tcPr>
          <w:p>
            <w:pPr>
              <w:widowControl w:val="0"/>
              <w:numPr>
                <w:ilvl w:val="0"/>
                <w:numId w:val="0"/>
              </w:num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我局信息公开工作与人民群众的期望还存在一定差距，政府信息公开深度和力度有待进一步加强，信息公开工作的方法和举措、载体等需进一步创新，信息公开的意识和业务能力有待进一步提高。在下一步的工作中，</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rPr>
        <w:t>市场监管局将从以下三个方面推进和提高政府信息公开工作。一是进一步深化政府信息公开内容，尤其要加大政府信息主动公开力度，拓展政府信息公开范围。二是进一步加强政府信息公开业务培训，规范工作流程，保障政府信息公开工作有序到位。三是围绕市场监管体制改革，深入推进政府信息公开工作整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w:t>
      </w: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第六师五家渠市市场监督管理局</w:t>
      </w:r>
    </w:p>
    <w:p>
      <w:pPr>
        <w:bidi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2022年1月21日</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62FD5"/>
    <w:rsid w:val="0BC45134"/>
    <w:rsid w:val="11C80AD2"/>
    <w:rsid w:val="2B5302DB"/>
    <w:rsid w:val="2EBE0C3A"/>
    <w:rsid w:val="307D1FD3"/>
    <w:rsid w:val="34423A4A"/>
    <w:rsid w:val="350D5595"/>
    <w:rsid w:val="353E5139"/>
    <w:rsid w:val="3A4E0A72"/>
    <w:rsid w:val="413E4098"/>
    <w:rsid w:val="42C162DF"/>
    <w:rsid w:val="4F454E59"/>
    <w:rsid w:val="70776C66"/>
    <w:rsid w:val="7A630234"/>
    <w:rsid w:val="7C787279"/>
    <w:rsid w:val="7C98131B"/>
    <w:rsid w:val="7CE3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2022-01-20T07:47:00Z</dcterms:created>
  <dc:creator>Administrator</dc:creator>
  <cp:lastModifiedBy>侯麦兜</cp:lastModifiedBy>
  <cp:lastPrinted>2022-01-21T10:04:01Z</cp:lastPrinted>
  <dcterms:modified xsi:type="dcterms:W3CDTF">2022-01-21T10:08:11Z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36AED90AAA33432A9A06B8E9BEA7E09A</vt:lpwstr>
  </property>
</Properties>
</file>