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新疆生产建设兵团第六师五家渠市20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  <w:lang w:val="en-US" w:eastAsia="zh-CN"/>
        </w:rPr>
        <w:t>21</w:t>
      </w:r>
      <w:r>
        <w:rPr>
          <w:rFonts w:hint="default" w:ascii="Times New Roman" w:hAnsi="Times New Roman" w:eastAsia="方正小标宋简体" w:cs="Times New Roman"/>
          <w:color w:val="auto"/>
          <w:sz w:val="44"/>
          <w:szCs w:val="44"/>
          <w:highlight w:val="none"/>
        </w:rPr>
        <w:t>年国民经济和社会发展统计公报</w:t>
      </w:r>
    </w:p>
    <w:p>
      <w:pPr>
        <w:snapToGrid w:val="0"/>
        <w:spacing w:line="300" w:lineRule="exact"/>
        <w:jc w:val="center"/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</w:rPr>
      </w:pPr>
    </w:p>
    <w:p>
      <w:pPr>
        <w:snapToGrid w:val="0"/>
        <w:spacing w:line="300" w:lineRule="exact"/>
        <w:jc w:val="center"/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</w:rPr>
        <w:t>第六师</w:t>
      </w:r>
      <w:r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  <w:lang w:val="en-US" w:eastAsia="zh-CN"/>
        </w:rPr>
        <w:t>五家渠市</w:t>
      </w:r>
      <w:r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</w:rPr>
        <w:t>统计局</w:t>
      </w:r>
      <w:r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default" w:ascii="Times New Roman" w:hAnsi="Times New Roman" w:eastAsia="方正楷体简体" w:cs="Times New Roman"/>
          <w:color w:val="auto"/>
          <w:sz w:val="32"/>
          <w:szCs w:val="32"/>
          <w:highlight w:val="none"/>
        </w:rPr>
        <w:t>国家统计局兵团第六师调查队</w:t>
      </w:r>
    </w:p>
    <w:p>
      <w:pPr>
        <w:snapToGrid w:val="0"/>
        <w:spacing w:line="300" w:lineRule="exact"/>
        <w:jc w:val="left"/>
        <w:rPr>
          <w:rFonts w:hint="default" w:ascii="Times New Roman" w:hAnsi="Times New Roman" w:cs="Times New Roman"/>
          <w:color w:val="auto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eastAsia="方正仿宋简体" w:cs="Times New Roman"/>
          <w:color w:val="auto"/>
          <w:sz w:val="32"/>
          <w:szCs w:val="32"/>
          <w:highlight w:val="none"/>
          <w:lang w:val="en-US" w:eastAsia="zh-CN"/>
        </w:rPr>
        <w:t>（2022年3月30日）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2021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年，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师市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上下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坚持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以习近平新时代中国特色社会主义思想为指导，深入贯彻落实党的十九大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十九届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历次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和第三次中央新疆工作座谈会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精神，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弘扬伟大建党精神，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不断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增强“四个意识”、坚定“四个自信”、做到“两个维护”，按照党中央、国务院决策部署，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紧紧围绕新疆工作总目标，聚焦兵团职责使命，坚决贯彻新发展理念，坚持稳中求进工作总基调，坚持推动高质量发展，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着力破解突出矛盾和问题，防范化解风险挑战，统筹推进疫情防控和经济社会发展工作，统筹做好“六稳”工作、全面落实“六保”任务。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师市经济运行总体平稳、稳中有进。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  <w:t>一、综合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经兵团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初步核算，2021年师市实现生产总值416.23亿元，比上年增长7.7%（按2020年可比价，下同）。第一产业增加值85.6亿元，增长7.4%；第二产业增加值223.31亿元，增长5.8%；第三产业增加值107.33亿元，增长11.1%。三次产业占生产总值比重为20:54:26，上年为22:48:30。三次产业对经济的贡献率分别为20.9%、36.3%、42.8%，分别拉动经济增长1.6%、2.8%、3.3%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2021年末师市总人口35.53万人，比上年增长2.4%，其中，男性18.53万人，女性17.0万人。性别比为109（女=100）。全年出生人口1391人，出生率为4.0‰；死亡人口1462人，死亡率为4.2‰；人口自然增长率为-0.2‰。人口增速放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师市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国有控股农工建交商企业实现利润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-3.34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亿元，比上年减亏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1.66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  <w:t>二、农业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师市</w:t>
      </w:r>
      <w:r>
        <w:rPr>
          <w:rFonts w:hint="default" w:ascii="Times New Roman" w:hAnsi="Times New Roman" w:eastAsia="方正仿宋简体" w:cs="Times New Roman"/>
          <w:color w:val="auto"/>
          <w:kern w:val="2"/>
          <w:sz w:val="32"/>
          <w:szCs w:val="32"/>
          <w:highlight w:val="none"/>
          <w:lang w:val="en-US" w:eastAsia="zh-CN" w:bidi="ar"/>
        </w:rPr>
        <w:t>实现农业总产值199.87亿元，增长8.9%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。实现农业增加值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93.1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亿元，比上年增长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7.2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，其中农林牧渔业增加值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85.6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全年农作物播种面积</w:t>
      </w:r>
      <w:r>
        <w:rPr>
          <w:rFonts w:hint="default" w:ascii="Times New Roman" w:hAnsi="Times New Roman" w:eastAsia="方正仿宋简体" w:cs="Times New Roman"/>
          <w:color w:val="auto"/>
          <w:kern w:val="2"/>
          <w:sz w:val="32"/>
          <w:szCs w:val="32"/>
          <w:highlight w:val="none"/>
          <w:lang w:val="en-US" w:eastAsia="zh-CN" w:bidi="ar"/>
        </w:rPr>
        <w:t>193.37千公顷(290.06万亩）,增长0.2%，其中，粮食种植面积46.65千公顷（69.98万亩），增长21.1%；棉花种植面积121.88千公顷（182.82万亩），增长1.0%；油料种植面积1.08千公顷（1.62万亩），下降75.4%；蔬菜种植面积（含菜用瓜）6.35千公顷（9.52万亩），下降14.8%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作物精量播种面积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184.2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千公顷（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276.3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万亩），比上年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增加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2.0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%。其中，棉花精量播种面积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121.88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千公顷（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182.82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万亩），增长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%。测土配方施肥面积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168.6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千公顷（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253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万亩），增长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3.3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全年粮食产量43.08万吨，增长23.3%；棉花产量29.51万吨，增长1.3%；油料产量为0.41万吨，下降73.0%。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  <w:br w:type="page"/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图1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201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—20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年棉花产量及其增长速度</w:t>
      </w:r>
    </w:p>
    <w:p>
      <w:pPr>
        <w:snapToGrid w:val="0"/>
        <w:spacing w:line="300" w:lineRule="exact"/>
        <w:jc w:val="center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</w:p>
    <w:p>
      <w:pPr>
        <w:snapToGrid w:val="0"/>
        <w:spacing w:line="240" w:lineRule="auto"/>
        <w:jc w:val="both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highlight w:val="none"/>
          <w:lang w:eastAsia="zh-CN"/>
        </w:rPr>
        <w:pict>
          <v:shape id="_x0000_i1025" o:spt="75" alt="棉花_副本" type="#_x0000_t75" style="height:255.85pt;width:387.5pt;" filled="f" o:preferrelative="t" stroked="f" coordsize="21600,21600">
            <v:path/>
            <v:fill on="f" focussize="0,0"/>
            <v:stroke on="f"/>
            <v:imagedata r:id="rId5" o:title="棉花_副本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表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 xml:space="preserve">1  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20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年主要农、畜产品生产情况及其增长速度</w:t>
      </w:r>
    </w:p>
    <w:tbl>
      <w:tblPr>
        <w:tblStyle w:val="7"/>
        <w:tblpPr w:leftFromText="180" w:rightFromText="180" w:vertAnchor="text" w:horzAnchor="page" w:tblpX="2365" w:tblpY="192"/>
        <w:tblOverlap w:val="never"/>
        <w:tblW w:w="77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1"/>
        <w:gridCol w:w="1732"/>
        <w:gridCol w:w="1734"/>
        <w:gridCol w:w="17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exact"/>
        </w:trPr>
        <w:tc>
          <w:tcPr>
            <w:tcW w:w="2581" w:type="dxa"/>
            <w:tcBorders>
              <w:top w:val="single" w:color="000000" w:sz="12" w:space="0"/>
              <w:left w:val="nil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  <w:t>指标</w:t>
            </w:r>
          </w:p>
        </w:tc>
        <w:tc>
          <w:tcPr>
            <w:tcW w:w="1732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  <w:t>计量单位</w:t>
            </w:r>
          </w:p>
        </w:tc>
        <w:tc>
          <w:tcPr>
            <w:tcW w:w="1734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  <w:t>绝对数</w:t>
            </w:r>
          </w:p>
        </w:tc>
        <w:tc>
          <w:tcPr>
            <w:tcW w:w="1732" w:type="dxa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spacing w:line="24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  <w:t>比上年增减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  <w:t>%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粮食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43.08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棉花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29.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51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油料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0.41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蔬菜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74.01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-13.8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＃工业用番茄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45.77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tabs>
                <w:tab w:val="left" w:pos="472"/>
              </w:tabs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-34.6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水果</w:t>
            </w:r>
          </w:p>
        </w:tc>
        <w:tc>
          <w:tcPr>
            <w:tcW w:w="1732" w:type="dxa"/>
            <w:tcBorders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eastAsia="宋体" w:cs="Times New Roman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5.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58</w:t>
            </w:r>
          </w:p>
        </w:tc>
        <w:tc>
          <w:tcPr>
            <w:tcW w:w="1732" w:type="dxa"/>
            <w:tcBorders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tabs>
                <w:tab w:val="left" w:pos="472"/>
              </w:tabs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-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年末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猪牛羊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存栏头数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万头(只)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105.31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10.7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＃牛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万头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5.04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ind w:firstLine="180" w:firstLineChars="100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猪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万头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60.12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ind w:firstLine="180" w:firstLineChars="100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羊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万只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40.15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 xml:space="preserve">       -1.0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年内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猪牛羊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出栏头数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万头(只)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202.02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15.9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eastAsia="宋体" w:cs="Times New Roman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>猪牛羊禽肉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12.56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羊毛产量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exact"/>
        </w:trPr>
        <w:tc>
          <w:tcPr>
            <w:tcW w:w="2581" w:type="dxa"/>
            <w:tcBorders>
              <w:top w:val="nil"/>
              <w:left w:val="nil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禽蛋产量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4.34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581" w:type="dxa"/>
            <w:tcBorders>
              <w:top w:val="nil"/>
              <w:left w:val="nil"/>
              <w:bottom w:val="single" w:color="auto" w:sz="12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牛奶产量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single" w:color="auto" w:sz="12" w:space="0"/>
              <w:right w:val="single" w:color="000000" w:sz="6" w:space="0"/>
            </w:tcBorders>
            <w:vAlign w:val="center"/>
          </w:tcPr>
          <w:p>
            <w:pPr>
              <w:widowControl/>
              <w:spacing w:line="200" w:lineRule="exact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万吨</w:t>
            </w:r>
          </w:p>
        </w:tc>
        <w:tc>
          <w:tcPr>
            <w:tcW w:w="1734" w:type="dxa"/>
            <w:tcBorders>
              <w:top w:val="nil"/>
              <w:left w:val="single" w:color="000000" w:sz="6" w:space="0"/>
              <w:bottom w:val="single" w:color="auto" w:sz="12" w:space="0"/>
              <w:right w:val="single" w:color="000000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4.94</w:t>
            </w:r>
          </w:p>
        </w:tc>
        <w:tc>
          <w:tcPr>
            <w:tcW w:w="1732" w:type="dxa"/>
            <w:tcBorders>
              <w:top w:val="nil"/>
              <w:left w:val="single" w:color="000000" w:sz="6" w:space="0"/>
              <w:bottom w:val="single" w:color="auto" w:sz="12" w:space="0"/>
              <w:right w:val="nil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>
            <w:pPr>
              <w:spacing w:line="200" w:lineRule="exact"/>
              <w:ind w:left="-105" w:leftChars="-50" w:right="105" w:rightChars="50"/>
              <w:jc w:val="right"/>
              <w:rPr>
                <w:rFonts w:hint="default" w:ascii="Times New Roman" w:hAnsi="Times New Roman" w:cs="Times New Roman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19.9</w:t>
            </w:r>
          </w:p>
        </w:tc>
      </w:tr>
    </w:tbl>
    <w:p>
      <w:pPr>
        <w:snapToGrid w:val="0"/>
        <w:spacing w:line="300" w:lineRule="exact"/>
        <w:jc w:val="left"/>
        <w:rPr>
          <w:rFonts w:hint="default" w:ascii="Times New Roman" w:hAnsi="Times New Roman" w:cs="Times New Roman"/>
          <w:color w:val="auto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种植业耕、种、收综合机械化率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98.2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%。畜禽良种推广覆盖率达到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97.8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%，养殖粪污资源化利用率达到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91.1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师市各级农业产业化龙头企业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家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。其中，国家级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家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，兵团级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家，销售收入过10亿元的有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家。龙头企业带动种植面积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155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万亩、牲畜饲养量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307.3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万头、禽类饲养量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1377.1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万只，带动团场和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连队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近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已建成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个全国现代农业示范区，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个全国“一村一品”示范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连队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1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个国家级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种植业“三品一标”基地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，示范面积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万余亩。完成“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两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品”（即有机农产品、绿色食品）认证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个，认证面积达到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万亩，完成农产品地理标志认证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  <w:t>三、工业与建筑业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全年工业增加值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200.18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10.3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其中规上工业增加值增长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工业产销率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98.2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%。轻、重工业比重分别为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79.5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。轻工业增长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%，重工业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14.5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表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 xml:space="preserve">2  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20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年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>规上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工业主要产品产量及其增长速度</w:t>
      </w:r>
    </w:p>
    <w:tbl>
      <w:tblPr>
        <w:tblStyle w:val="7"/>
        <w:tblW w:w="0" w:type="auto"/>
        <w:tblInd w:w="9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4"/>
        <w:gridCol w:w="1214"/>
        <w:gridCol w:w="1311"/>
        <w:gridCol w:w="1237"/>
        <w:gridCol w:w="109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12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214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计量单位</w:t>
            </w:r>
          </w:p>
        </w:tc>
        <w:tc>
          <w:tcPr>
            <w:tcW w:w="131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2021年</w:t>
            </w:r>
          </w:p>
        </w:tc>
        <w:tc>
          <w:tcPr>
            <w:tcW w:w="1237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2020年</w:t>
            </w:r>
          </w:p>
        </w:tc>
        <w:tc>
          <w:tcPr>
            <w:tcW w:w="1092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增速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%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原煤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78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活性炭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石墨及碳素制品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商品混凝土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立方米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47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小麦粉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63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-28.7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塑料制品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.20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0.10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沥青和改性沥青防水卷材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平方米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219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142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54.2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罐头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-12.0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纱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72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棉花加工机械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台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601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850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-29.3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水泥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.40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28.4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生铁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钢材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102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饮料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机制纸及纸板（外购原纸加工除外）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85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105.0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原铝（电解铝）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93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52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饲料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97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87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-6.3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鲜、冷藏肉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74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.20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79.5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焦炭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40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37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.20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味精(谷氨酸钠)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万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吨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19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-2.0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424" w:type="dxa"/>
            <w:tcBorders>
              <w:top w:val="single" w:color="000000" w:sz="4" w:space="0"/>
              <w:left w:val="nil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发电量</w:t>
            </w: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  <w:lang w:val="en-US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亿度</w:t>
            </w:r>
          </w:p>
        </w:tc>
        <w:tc>
          <w:tcPr>
            <w:tcW w:w="1311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238</w:t>
            </w:r>
            <w:r>
              <w:rPr>
                <w:rFonts w:hint="default" w:ascii="Times New Roman" w:hAnsi="Times New Roman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.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1092" w:type="dxa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8.3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18"/>
          <w:szCs w:val="18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center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28"/>
          <w:szCs w:val="28"/>
          <w:highlight w:val="none"/>
          <w:lang w:val="en-US" w:eastAsia="zh-CN"/>
        </w:rPr>
        <w:t>图2    2017—2021年规上工业增加值增长速度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pict>
          <v:shape id="_x0000_i1026" o:spt="75" alt="规上工业_副本" type="#_x0000_t75" style="height:204.2pt;width:395.25pt;" filled="f" o:preferrelative="t" stroked="f" coordsize="21600,21600">
            <v:path/>
            <v:fill on="f" focussize="0,0"/>
            <v:stroke on="f"/>
            <v:imagedata r:id="rId6" o:title="规上工业_副本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年末师市有国家级经济开发区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个，兵团级园区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  <w:t>1</w:t>
      </w:r>
      <w:r>
        <w:rPr>
          <w:rFonts w:hint="default" w:ascii="Times New Roman" w:hAnsi="Times New Roman" w:eastAsia="方正仿宋简体" w:cs="Times New Roman"/>
          <w:sz w:val="32"/>
          <w:szCs w:val="32"/>
          <w:highlight w:val="none"/>
        </w:rPr>
        <w:t>个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。全年规模以上工业企业实现利润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117.95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亿元，比上年增盈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80.65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全年实现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资质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建筑业产值</w:t>
      </w:r>
      <w:r>
        <w:rPr>
          <w:rFonts w:hint="default" w:ascii="Times New Roman" w:hAnsi="Times New Roman" w:eastAsia="方正仿宋简体" w:cs="Times New Roman"/>
          <w:color w:val="000000" w:themeColor="text1"/>
          <w:sz w:val="32"/>
          <w:szCs w:val="32"/>
          <w:highlight w:val="none"/>
          <w:lang w:val="en-US" w:eastAsia="zh-CN"/>
        </w:rPr>
        <w:t>34.62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下降61.1%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。建筑业增加值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23.16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下降16.7%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。师市具有资质等级的总承包和专业承包建筑企业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家，实现利润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0.48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下降60.5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%。各类建筑施工单位签</w:t>
      </w:r>
      <w:r>
        <w:rPr>
          <w:rFonts w:hint="eastAsia" w:eastAsia="方正仿宋简体" w:cs="Times New Roman"/>
          <w:color w:val="auto"/>
          <w:sz w:val="32"/>
          <w:szCs w:val="32"/>
          <w:highlight w:val="none"/>
          <w:lang w:val="en-US" w:eastAsia="zh-CN"/>
        </w:rPr>
        <w:t>订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合同额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54.72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下降55.6%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。全年房屋施工面积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89.51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万平方米，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下降45.9%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  <w:t>四、固定资产投资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全年全社会固定资产投资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（不含农户）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比上年增长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分产业看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，第一产业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投资比上年下降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49.1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%；第二产业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投资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18.6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%；第三产业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投资增长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图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 xml:space="preserve">3  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201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—20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年全社会固定资产投资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eastAsia="zh-CN"/>
        </w:rPr>
        <w:t>（不含农户）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增长速度</w:t>
      </w:r>
    </w:p>
    <w:p>
      <w:pPr>
        <w:widowControl/>
        <w:spacing w:line="240" w:lineRule="auto"/>
        <w:jc w:val="both"/>
        <w:rPr>
          <w:rFonts w:hint="default" w:ascii="Times New Roman" w:hAnsi="Times New Roman" w:cs="Times New Roman"/>
          <w:color w:val="auto"/>
          <w:sz w:val="18"/>
          <w:szCs w:val="18"/>
          <w:highlight w:val="none"/>
          <w:lang w:val="zh-CN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highlight w:val="none"/>
          <w:lang w:val="zh-CN"/>
        </w:rPr>
        <w:pict>
          <v:shape id="_x0000_i1027" o:spt="75" alt="投资_副本" type="#_x0000_t75" style="height:233.1pt;width:415.15pt;" filled="f" o:preferrelative="t" stroked="f" coordsize="21600,21600">
            <v:path/>
            <v:fill on="f" focussize="0,0"/>
            <v:stroke on="f"/>
            <v:imagedata r:id="rId7" o:title="投资_副本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全年房地产开发投资比上年下降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%。商品房销售面积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25.13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万平方米，下降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%。其中，住宅2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4.62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万平方米，下降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%。商品房销售额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8.92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亿元，下降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32.9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%。商品房待售面积39.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59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万平方米，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下降0.3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表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 xml:space="preserve">3  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20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年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eastAsia="zh-CN"/>
        </w:rPr>
        <w:t>分产业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全社会固定资产投资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eastAsia="zh-CN"/>
        </w:rPr>
        <w:t>（不含农户）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增长速度</w:t>
      </w:r>
    </w:p>
    <w:tbl>
      <w:tblPr>
        <w:tblStyle w:val="7"/>
        <w:tblW w:w="8139" w:type="dxa"/>
        <w:jc w:val="center"/>
        <w:tblBorders>
          <w:top w:val="single" w:color="000000" w:sz="6" w:space="0"/>
          <w:left w:val="none" w:color="auto" w:sz="0" w:space="0"/>
          <w:bottom w:val="single" w:color="000000" w:sz="6" w:space="0"/>
          <w:right w:val="none" w:color="auto" w:sz="0" w:space="0"/>
          <w:insideH w:val="none" w:color="auto" w:sz="0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05"/>
        <w:gridCol w:w="2634"/>
      </w:tblGrid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exact"/>
          <w:jc w:val="center"/>
        </w:trPr>
        <w:tc>
          <w:tcPr>
            <w:tcW w:w="5505" w:type="dxa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 w:right="-105" w:rightChars="-50" w:firstLine="36" w:firstLineChars="2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指标</w:t>
            </w:r>
          </w:p>
        </w:tc>
        <w:tc>
          <w:tcPr>
            <w:tcW w:w="2634" w:type="dxa"/>
            <w:tcBorders>
              <w:top w:val="single" w:color="000000" w:sz="12" w:space="0"/>
              <w:bottom w:val="single" w:color="000000" w:sz="6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比上年增减（%）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tcBorders>
              <w:top w:val="single" w:color="000000" w:sz="6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全社会固定资产投资</w:t>
            </w:r>
          </w:p>
        </w:tc>
        <w:tc>
          <w:tcPr>
            <w:tcW w:w="2634" w:type="dxa"/>
            <w:tcBorders>
              <w:top w:val="single" w:color="000000" w:sz="6" w:space="0"/>
            </w:tcBorders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2.5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tcBorders>
              <w:bottom w:val="nil"/>
            </w:tcBorders>
            <w:vAlign w:val="center"/>
          </w:tcPr>
          <w:p>
            <w:pPr>
              <w:widowControl/>
              <w:spacing w:line="200" w:lineRule="exact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＃房地产开发投资</w:t>
            </w:r>
          </w:p>
        </w:tc>
        <w:tc>
          <w:tcPr>
            <w:tcW w:w="2634" w:type="dxa"/>
            <w:tcBorders>
              <w:bottom w:val="nil"/>
            </w:tcBorders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-7.4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tcBorders>
              <w:bottom w:val="nil"/>
            </w:tcBorders>
            <w:vAlign w:val="center"/>
          </w:tcPr>
          <w:p>
            <w:pPr>
              <w:spacing w:line="200" w:lineRule="exac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按经济类型分</w:t>
            </w:r>
          </w:p>
        </w:tc>
        <w:tc>
          <w:tcPr>
            <w:tcW w:w="2634" w:type="dxa"/>
            <w:tcBorders>
              <w:bottom w:val="nil"/>
            </w:tcBorders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　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tcBorders>
              <w:bottom w:val="nil"/>
            </w:tcBorders>
            <w:vAlign w:val="center"/>
          </w:tcPr>
          <w:p>
            <w:pPr>
              <w:spacing w:line="200" w:lineRule="exac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＃国有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及国有控股</w:t>
            </w:r>
          </w:p>
        </w:tc>
        <w:tc>
          <w:tcPr>
            <w:tcW w:w="2634" w:type="dxa"/>
            <w:tcBorders>
              <w:bottom w:val="nil"/>
            </w:tcBorders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-35.8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tcBorders>
              <w:bottom w:val="nil"/>
            </w:tcBorders>
            <w:vAlign w:val="center"/>
          </w:tcPr>
          <w:p>
            <w:pPr>
              <w:spacing w:line="200" w:lineRule="exact"/>
              <w:ind w:firstLine="180" w:firstLineChars="100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民间投资</w:t>
            </w:r>
          </w:p>
        </w:tc>
        <w:tc>
          <w:tcPr>
            <w:tcW w:w="2634" w:type="dxa"/>
            <w:tcBorders>
              <w:bottom w:val="nil"/>
            </w:tcBorders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30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按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  <w:lang w:eastAsia="zh-CN"/>
              </w:rPr>
              <w:t>产业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分</w:t>
            </w:r>
          </w:p>
        </w:tc>
        <w:tc>
          <w:tcPr>
            <w:tcW w:w="2634" w:type="dxa"/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vAlign w:val="center"/>
          </w:tcPr>
          <w:p>
            <w:pPr>
              <w:widowControl/>
              <w:spacing w:line="200" w:lineRule="exact"/>
              <w:ind w:firstLine="90" w:firstLineChars="50"/>
              <w:jc w:val="lef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＃第一产业</w:t>
            </w:r>
          </w:p>
        </w:tc>
        <w:tc>
          <w:tcPr>
            <w:tcW w:w="2634" w:type="dxa"/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-49.1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exact"/>
          <w:jc w:val="center"/>
        </w:trPr>
        <w:tc>
          <w:tcPr>
            <w:tcW w:w="5505" w:type="dxa"/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ind w:firstLine="270" w:firstLineChars="15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第二产业</w:t>
            </w:r>
          </w:p>
        </w:tc>
        <w:tc>
          <w:tcPr>
            <w:tcW w:w="2634" w:type="dxa"/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18.6</w:t>
            </w:r>
          </w:p>
        </w:tc>
      </w:tr>
      <w:tr>
        <w:tblPrEx>
          <w:tblBorders>
            <w:top w:val="single" w:color="000000" w:sz="6" w:space="0"/>
            <w:left w:val="none" w:color="auto" w:sz="0" w:space="0"/>
            <w:bottom w:val="single" w:color="000000" w:sz="6" w:space="0"/>
            <w:right w:val="none" w:color="auto" w:sz="0" w:space="0"/>
            <w:insideH w:val="none" w:color="auto" w:sz="0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exact"/>
          <w:jc w:val="center"/>
        </w:trPr>
        <w:tc>
          <w:tcPr>
            <w:tcW w:w="5505" w:type="dxa"/>
            <w:tcBorders>
              <w:bottom w:val="single" w:color="auto" w:sz="12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ind w:firstLine="270" w:firstLineChars="15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第三产业</w:t>
            </w:r>
          </w:p>
        </w:tc>
        <w:tc>
          <w:tcPr>
            <w:tcW w:w="2634" w:type="dxa"/>
            <w:tcBorders>
              <w:bottom w:val="single" w:color="auto" w:sz="12" w:space="0"/>
            </w:tcBorders>
            <w:vAlign w:val="center"/>
          </w:tcPr>
          <w:p>
            <w:pPr>
              <w:spacing w:line="200" w:lineRule="exact"/>
              <w:ind w:right="420" w:rightChars="2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4.6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全年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工业投资比上年增长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18.6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%。其中，制造业投资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335.3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%；电力、燃气及水的生产和供应业投资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77.6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center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表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 xml:space="preserve">4  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20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年分行业全社会固定资产投资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  <w:lang w:eastAsia="zh-CN"/>
        </w:rPr>
        <w:t>（不含农户）</w:t>
      </w:r>
      <w:r>
        <w:rPr>
          <w:rFonts w:hint="default" w:ascii="Times New Roman" w:hAnsi="Times New Roman" w:cs="Times New Roman"/>
          <w:color w:val="auto"/>
          <w:sz w:val="28"/>
          <w:szCs w:val="28"/>
          <w:highlight w:val="none"/>
        </w:rPr>
        <w:t>增长速度</w:t>
      </w:r>
    </w:p>
    <w:tbl>
      <w:tblPr>
        <w:tblStyle w:val="7"/>
        <w:tblW w:w="833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47"/>
        <w:gridCol w:w="269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exact"/>
          <w:jc w:val="center"/>
        </w:trPr>
        <w:tc>
          <w:tcPr>
            <w:tcW w:w="5647" w:type="dxa"/>
            <w:tcBorders>
              <w:top w:val="single" w:color="000000" w:sz="12" w:space="0"/>
              <w:left w:val="nil"/>
              <w:bottom w:val="single" w:color="000000" w:sz="8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spacing w:line="180" w:lineRule="exact"/>
              <w:ind w:left="-105" w:leftChars="-50" w:right="-105" w:rightChars="-50" w:firstLine="36" w:firstLineChars="2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指标</w:t>
            </w:r>
          </w:p>
        </w:tc>
        <w:tc>
          <w:tcPr>
            <w:tcW w:w="2692" w:type="dxa"/>
            <w:tcBorders>
              <w:top w:val="single" w:color="000000" w:sz="12" w:space="0"/>
              <w:left w:val="single" w:color="000000" w:sz="6" w:space="0"/>
              <w:bottom w:val="single" w:color="000000" w:sz="8" w:space="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spacing w:line="18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比上年增减（%）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single" w:color="000000" w:sz="8" w:space="0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总计</w:t>
            </w:r>
          </w:p>
        </w:tc>
        <w:tc>
          <w:tcPr>
            <w:tcW w:w="2692" w:type="dxa"/>
            <w:tcBorders>
              <w:top w:val="single" w:color="000000" w:sz="8" w:space="0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 xml:space="preserve"> 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农、林、牧、渔业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-49.1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采矿业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制造业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335.3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＃农副食品加工业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-37.4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食品制造业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180" w:lineRule="exact"/>
              <w:ind w:firstLine="180" w:firstLineChars="10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石油加工、炼焦及核燃料加工业</w:t>
            </w:r>
          </w:p>
        </w:tc>
        <w:tc>
          <w:tcPr>
            <w:tcW w:w="2692" w:type="dxa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auto" w:sz="4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ind w:firstLine="180" w:firstLineChars="10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化学原料及化学制品制造业</w:t>
            </w:r>
          </w:p>
        </w:tc>
        <w:tc>
          <w:tcPr>
            <w:tcW w:w="2692" w:type="dxa"/>
            <w:tcBorders>
              <w:top w:val="nil"/>
              <w:left w:val="single" w:color="auto" w:sz="4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1646.5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ind w:firstLine="180" w:firstLineChars="10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非金属矿物制品业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283.3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ind w:firstLine="180" w:firstLineChars="10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黑色金属冶炼和压延加工业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ind w:firstLine="180" w:firstLineChars="100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有色金属冶炼及压延加工业</w:t>
            </w:r>
          </w:p>
        </w:tc>
        <w:tc>
          <w:tcPr>
            <w:tcW w:w="2692" w:type="dxa"/>
            <w:tcBorders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电力、热力、燃气及水的生产和供应业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-77.6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建筑业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批发和零售业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line="200" w:lineRule="exact"/>
              <w:ind w:left="-105" w:leftChars="-50" w:right="210" w:rightChars="1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20.3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交通运输、仓储和邮政业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spacing w:line="200" w:lineRule="exact"/>
              <w:ind w:left="-105" w:leftChars="-50" w:right="210" w:rightChars="10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-18.8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住宿和餐饮业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-26.1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房地产业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水利、环境和公共设施管理业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居民服务、修理和其他服务业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教育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卫生和社会工作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-44.1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exact"/>
          <w:jc w:val="center"/>
        </w:trPr>
        <w:tc>
          <w:tcPr>
            <w:tcW w:w="5647" w:type="dxa"/>
            <w:tcBorders>
              <w:top w:val="nil"/>
              <w:left w:val="nil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文化、体育和娱乐业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exact"/>
          <w:jc w:val="center"/>
        </w:trPr>
        <w:tc>
          <w:tcPr>
            <w:tcW w:w="5647" w:type="dxa"/>
            <w:tcBorders>
              <w:top w:val="nil"/>
              <w:left w:val="nil"/>
              <w:bottom w:val="single" w:color="000000" w:sz="12" w:space="0"/>
              <w:right w:val="single" w:color="000000" w:sz="6" w:space="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widowControl/>
              <w:adjustRightInd w:val="0"/>
              <w:snapToGrid w:val="0"/>
              <w:spacing w:line="200" w:lineRule="exact"/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kern w:val="0"/>
                <w:sz w:val="18"/>
                <w:szCs w:val="18"/>
                <w:highlight w:val="none"/>
              </w:rPr>
              <w:t>公共管理、社会保障和社会组织</w:t>
            </w:r>
          </w:p>
        </w:tc>
        <w:tc>
          <w:tcPr>
            <w:tcW w:w="2692" w:type="dxa"/>
            <w:tcBorders>
              <w:top w:val="nil"/>
              <w:left w:val="single" w:color="000000" w:sz="6" w:space="0"/>
              <w:bottom w:val="single" w:color="000000" w:sz="12" w:space="0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>
            <w:pPr>
              <w:adjustRightInd w:val="0"/>
              <w:snapToGrid w:val="0"/>
              <w:spacing w:line="200" w:lineRule="exact"/>
              <w:ind w:left="-105" w:leftChars="-50" w:right="210" w:rightChars="100" w:firstLine="270" w:firstLineChars="150"/>
              <w:jc w:val="right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295.4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固定资产投资资金来源总额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117.58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亿元，其中本年到位资金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109.14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亿元。本年资金来源中，国家预算内资金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11.26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国内贷款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4.09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债券0.02亿元，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自筹资金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81.22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招商引资项目共175个，当年形成实物量100.19亿元，增长12%。当年新建项目87个，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计划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总投资136.29亿元，增长108.8%。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山西省对口支援师市项目共25个，总投资1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5亿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元。当年援疆项目已开工24个，已完工21个，实际完成投资1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72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元。</w:t>
      </w:r>
    </w:p>
    <w:p>
      <w:pPr>
        <w:keepNext w:val="0"/>
        <w:keepLines w:val="0"/>
        <w:pageBreakBefore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五、国内贸易</w:t>
      </w: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全年批发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零售业商品销售总额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384.6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47.3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%。全年社会消费品零售总额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102.5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亿元，比上年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增长10.1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图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 xml:space="preserve">4  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201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>7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—20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年社会消费品零售总额及其增长速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eastAsia="zh-CN"/>
        </w:rPr>
        <w:t>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pict>
          <v:shape id="_x0000_i1028" o:spt="75" alt="商业_副本" type="#_x0000_t75" style="height:209pt;width:257.65pt;" filled="f" o:preferrelative="t" stroked="f" coordsize="21600,21600">
            <v:path/>
            <v:fill on="f" focussize="0,0"/>
            <v:stroke on="f"/>
            <v:imagedata r:id="rId8" o:title="商业_副本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>六、对外经济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全年货物进出口总额46156.7万美元（含出口供货），比上年增长19%。其中，货物出口46145.87万美元，增长21%；货物进口10.83万美元，下降98%。</w:t>
      </w:r>
    </w:p>
    <w:p>
      <w:pPr>
        <w:keepNext w:val="0"/>
        <w:keepLines w:val="0"/>
        <w:pageBreakBefore w:val="0"/>
        <w:widowControl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七、交通运输和旅游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2021年末师市公路总里程4861公里。其中一级167公里、二级495公里、三级564公里、四级2099公里、等外1536公里。</w:t>
      </w:r>
      <w:r>
        <w:rPr>
          <w:rFonts w:hint="default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  <w:lang w:val="en-US" w:eastAsia="zh-CN"/>
        </w:rPr>
        <w:t>新建改扩建公路50公里。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师市公交运营市区及通团连班线总计30条，营运车辆188辆，运营线路总长1174公里，其中</w:t>
      </w:r>
      <w:r>
        <w:rPr>
          <w:rFonts w:hint="eastAsia" w:eastAsia="方正仿宋简体" w:cs="Times New Roman"/>
          <w:color w:val="auto"/>
          <w:sz w:val="32"/>
          <w:szCs w:val="32"/>
          <w:highlight w:val="none"/>
          <w:lang w:val="en-US" w:eastAsia="zh-CN"/>
        </w:rPr>
        <w:t>城市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公交107辆，通连</w:t>
      </w:r>
      <w:r>
        <w:rPr>
          <w:rFonts w:hint="eastAsia" w:eastAsia="方正仿宋简体" w:cs="Times New Roman"/>
          <w:color w:val="auto"/>
          <w:sz w:val="32"/>
          <w:szCs w:val="32"/>
          <w:highlight w:val="none"/>
          <w:lang w:val="en-US" w:eastAsia="zh-CN"/>
        </w:rPr>
        <w:t>公交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81辆。有出租车辆682辆，其中市区出租车327辆，团场区域出租车355辆。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年末师市拥有旅游企业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家。国家等级景区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9个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4A级5个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），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全国工农业旅游示范点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星级农家乐2个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旅游星级饭店8家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旅行社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旅游集团公司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家。全年旅游直接就业人员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0.35万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间接就业人员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万人。全年接待游客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365万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人次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同比增长4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1%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旅游综合收入17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.57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121.3%。</w:t>
      </w:r>
    </w:p>
    <w:p>
      <w:pPr>
        <w:keepNext w:val="0"/>
        <w:keepLines w:val="0"/>
        <w:pageBreakBefore w:val="0"/>
        <w:widowControl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八、财政、金融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全年上缴各类税费45.63亿元。2021年师市上解1.54亿元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实现全口径财政收入48.98亿元，增长57.2%。其中，地方财政收入25.88亿元，增长31.5%。实现一般公共财政预算收入22.53亿元，增长41.2%，其中，各项税收收入18.79亿元，增长58.3%；非税收入3.74亿元，下降8.5%。实现政府性基金预算收入3.24亿元，下降10.1%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上级补助收入49.95亿元，下降46.2%。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山西援疆资金收入1.94亿元，增长6%。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全师各项存款金额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290.97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9.1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%。各项贷款余额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190.40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亿元，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widowControl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九、教育、科学技术和文化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年末有各类学校74所，在校学生48202人，下降4.4%，教职工4869人，增长3.2%，其中，专职教师3734人，增长3.1%。毕业生12790人，下降4.6%。普通中小学在校生32577 人，招生8431人，毕业生7851人，教职工3186人，其中专任教师2862人。小学适龄儿童入学率100 %，初中适龄人口入学 100 %。幼儿园38 所，在校生8720人，教职工1134 人，其中专任教师570人。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</w:pP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表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 xml:space="preserve">5  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20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 w:eastAsiaTheme="minorEastAsia"/>
          <w:color w:val="auto"/>
          <w:sz w:val="28"/>
          <w:szCs w:val="28"/>
          <w:highlight w:val="none"/>
        </w:rPr>
        <w:t>年各类学校基本情况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363" w:firstLine="6240" w:firstLineChars="2600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highlight w:val="none"/>
        </w:rPr>
        <w:t>单位：所、人</w:t>
      </w:r>
    </w:p>
    <w:tbl>
      <w:tblPr>
        <w:tblStyle w:val="7"/>
        <w:tblW w:w="7570" w:type="dxa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662"/>
        <w:gridCol w:w="889"/>
        <w:gridCol w:w="1255"/>
        <w:gridCol w:w="812"/>
        <w:gridCol w:w="1045"/>
        <w:gridCol w:w="1397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  <w:jc w:val="center"/>
        </w:trPr>
        <w:tc>
          <w:tcPr>
            <w:tcW w:w="1510" w:type="dxa"/>
            <w:vMerge w:val="restar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指标</w:t>
            </w:r>
          </w:p>
        </w:tc>
        <w:tc>
          <w:tcPr>
            <w:tcW w:w="662" w:type="dxa"/>
            <w:vMerge w:val="restar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学校数</w:t>
            </w:r>
          </w:p>
        </w:tc>
        <w:tc>
          <w:tcPr>
            <w:tcW w:w="889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在校</w:t>
            </w:r>
          </w:p>
          <w:p>
            <w:pPr>
              <w:spacing w:line="300" w:lineRule="exact"/>
              <w:ind w:right="-105" w:rightChars="-50" w:firstLine="180" w:firstLineChars="100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生数</w:t>
            </w:r>
          </w:p>
        </w:tc>
        <w:tc>
          <w:tcPr>
            <w:tcW w:w="1255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812" w:type="dxa"/>
            <w:vMerge w:val="restart"/>
            <w:tcBorders>
              <w:top w:val="single" w:color="auto" w:sz="12" w:space="0"/>
              <w:bottom w:val="single" w:color="auto" w:sz="6" w:space="0"/>
              <w:right w:val="nil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教职</w:t>
            </w:r>
          </w:p>
          <w:p>
            <w:pPr>
              <w:spacing w:line="30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工数</w:t>
            </w:r>
          </w:p>
        </w:tc>
        <w:tc>
          <w:tcPr>
            <w:tcW w:w="1045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97" w:type="dxa"/>
            <w:vMerge w:val="restar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50" w:right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毕业生数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1510" w:type="dxa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 w:firstLine="180" w:firstLineChars="10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662" w:type="dxa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889" w:type="dxa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255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288" w:leftChars="-137" w:right="-105" w:rightChars="-50" w:firstLine="117" w:firstLineChars="65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#新招生</w:t>
            </w:r>
          </w:p>
        </w:tc>
        <w:tc>
          <w:tcPr>
            <w:tcW w:w="812" w:type="dxa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05" w:leftChars="-50" w:right="-105" w:rightChars="-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045" w:type="dxa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ind w:left="-15" w:leftChars="-50" w:right="-105" w:rightChars="-50" w:hanging="90" w:hangingChars="50"/>
              <w:jc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#专任教师</w:t>
            </w:r>
          </w:p>
        </w:tc>
        <w:tc>
          <w:tcPr>
            <w:tcW w:w="1397" w:type="dxa"/>
            <w:vMerge w:val="continue"/>
            <w:tcBorders>
              <w:top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line="300" w:lineRule="exact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  <w:jc w:val="center"/>
        </w:trPr>
        <w:tc>
          <w:tcPr>
            <w:tcW w:w="1510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合计</w:t>
            </w:r>
          </w:p>
        </w:tc>
        <w:tc>
          <w:tcPr>
            <w:tcW w:w="662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74</w:t>
            </w:r>
          </w:p>
        </w:tc>
        <w:tc>
          <w:tcPr>
            <w:tcW w:w="889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48202</w:t>
            </w:r>
          </w:p>
        </w:tc>
        <w:tc>
          <w:tcPr>
            <w:tcW w:w="1255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14302</w:t>
            </w:r>
          </w:p>
        </w:tc>
        <w:tc>
          <w:tcPr>
            <w:tcW w:w="812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4869</w:t>
            </w:r>
          </w:p>
        </w:tc>
        <w:tc>
          <w:tcPr>
            <w:tcW w:w="1045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3734</w:t>
            </w:r>
          </w:p>
        </w:tc>
        <w:tc>
          <w:tcPr>
            <w:tcW w:w="1397" w:type="dxa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12790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  <w:jc w:val="center"/>
        </w:trPr>
        <w:tc>
          <w:tcPr>
            <w:tcW w:w="1510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普通高等学校</w:t>
            </w:r>
          </w:p>
        </w:tc>
        <w:tc>
          <w:tcPr>
            <w:tcW w:w="66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889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5378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2148</w:t>
            </w:r>
          </w:p>
        </w:tc>
        <w:tc>
          <w:tcPr>
            <w:tcW w:w="81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429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237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1616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  <w:jc w:val="center"/>
        </w:trPr>
        <w:tc>
          <w:tcPr>
            <w:tcW w:w="1510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中等职业学校数</w:t>
            </w:r>
          </w:p>
        </w:tc>
        <w:tc>
          <w:tcPr>
            <w:tcW w:w="66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</w:t>
            </w:r>
          </w:p>
        </w:tc>
        <w:tc>
          <w:tcPr>
            <w:tcW w:w="889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1527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486</w:t>
            </w:r>
          </w:p>
        </w:tc>
        <w:tc>
          <w:tcPr>
            <w:tcW w:w="81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120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65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317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  <w:jc w:val="center"/>
        </w:trPr>
        <w:tc>
          <w:tcPr>
            <w:tcW w:w="1510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auto"/>
                <w:spacing w:val="-6"/>
                <w:w w:val="9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普通中学</w:t>
            </w:r>
          </w:p>
        </w:tc>
        <w:tc>
          <w:tcPr>
            <w:tcW w:w="66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1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889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16022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5515</w:t>
            </w:r>
          </w:p>
        </w:tc>
        <w:tc>
          <w:tcPr>
            <w:tcW w:w="81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1734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1540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5196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5" w:hRule="exact"/>
          <w:jc w:val="center"/>
        </w:trPr>
        <w:tc>
          <w:tcPr>
            <w:tcW w:w="1510" w:type="dxa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auto"/>
                <w:spacing w:val="-6"/>
                <w:w w:val="9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小学</w:t>
            </w:r>
          </w:p>
        </w:tc>
        <w:tc>
          <w:tcPr>
            <w:tcW w:w="66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</w:rPr>
              <w:t>14</w:t>
            </w:r>
          </w:p>
        </w:tc>
        <w:tc>
          <w:tcPr>
            <w:tcW w:w="889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lang w:val="en-US" w:eastAsia="zh-CN"/>
              </w:rPr>
              <w:t>16555</w:t>
            </w:r>
          </w:p>
        </w:tc>
        <w:tc>
          <w:tcPr>
            <w:tcW w:w="125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lang w:val="en-US" w:eastAsia="zh-CN"/>
              </w:rPr>
              <w:t>2916</w:t>
            </w:r>
          </w:p>
        </w:tc>
        <w:tc>
          <w:tcPr>
            <w:tcW w:w="812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lang w:val="en-US" w:eastAsia="zh-CN"/>
              </w:rPr>
              <w:t>1452</w:t>
            </w:r>
          </w:p>
        </w:tc>
        <w:tc>
          <w:tcPr>
            <w:tcW w:w="1045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lang w:val="en-US" w:eastAsia="zh-CN"/>
              </w:rPr>
              <w:t>1322</w:t>
            </w:r>
          </w:p>
        </w:tc>
        <w:tc>
          <w:tcPr>
            <w:tcW w:w="1397" w:type="dxa"/>
            <w:tcBorders>
              <w:top w:val="nil"/>
              <w:bottom w:val="nil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lang w:val="en-US" w:eastAsia="zh-CN"/>
              </w:rPr>
              <w:t>2655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exact"/>
          <w:jc w:val="center"/>
        </w:trPr>
        <w:tc>
          <w:tcPr>
            <w:tcW w:w="1510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auto"/>
                <w:sz w:val="18"/>
                <w:szCs w:val="18"/>
                <w:highlight w:val="none"/>
              </w:rPr>
              <w:t>幼儿园</w:t>
            </w:r>
          </w:p>
        </w:tc>
        <w:tc>
          <w:tcPr>
            <w:tcW w:w="662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</w:rPr>
              <w:t>38</w:t>
            </w:r>
          </w:p>
        </w:tc>
        <w:tc>
          <w:tcPr>
            <w:tcW w:w="889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8720</w:t>
            </w:r>
          </w:p>
        </w:tc>
        <w:tc>
          <w:tcPr>
            <w:tcW w:w="1255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3237</w:t>
            </w:r>
          </w:p>
        </w:tc>
        <w:tc>
          <w:tcPr>
            <w:tcW w:w="812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1134</w:t>
            </w:r>
          </w:p>
        </w:tc>
        <w:tc>
          <w:tcPr>
            <w:tcW w:w="1045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570</w:t>
            </w:r>
          </w:p>
        </w:tc>
        <w:tc>
          <w:tcPr>
            <w:tcW w:w="1397" w:type="dxa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spacing w:line="180" w:lineRule="exact"/>
              <w:ind w:left="-105" w:leftChars="-50"/>
              <w:jc w:val="right"/>
              <w:textAlignment w:val="center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lang w:val="en-US" w:eastAsia="zh-CN"/>
              </w:rPr>
              <w:t>3006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年末有科学研究与技术开发机构1个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有兵团工程技术研究中心4家，高新技术企业13家，科技型中小企业9家，兵团众创空间5家（其中国家级众创空间2家），兵团科技型中小企业孵化器 2家（其中国家级科技型中小企业孵化器1家）。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全年有1项科技成果获得兵团科技进步奖二等奖。全年承担各级各类科技项目64项，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到位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各类科技经费总额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1530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万元，其中，承担实施兵团以上科技计划项目14项，到位科技经费10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万元；师本级科技计划项目50项，到位科技经费500万元。项目年经费投入强度每项23.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万元以上。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专利申请量138件。截止2021年底，有效专利636件，其中有效发明专利49件。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年末有广播电视播出机构15座，其中师电视台和广播电台1座，农牧团场广播电视站13座，工矿企业广播电视站1座。广播电视综合覆盖率均达到100%。实施数字电影放映工程，有14个流动电影放映队，全年放映电影2246场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年末有文化馆1座，影剧院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座，博物馆1座，图书馆1座，美术馆1座，建成团场、企业文化中心14个，覆盖率100%；建设连队综合文化活动室210个，实现中心连队全覆盖。师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有文化广场1个。师市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博物馆成功创建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全国爱国主义教育示范基地、文化馆复评为国家（地市级）二级馆，图书馆申报全国科普教育基地。</w:t>
      </w:r>
    </w:p>
    <w:p>
      <w:pPr>
        <w:keepNext w:val="0"/>
        <w:keepLines w:val="0"/>
        <w:pageBreakBefore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十、卫生和社会服务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年末有各类卫生机构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293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个（含营利性卫生机构），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医疗机构床位数2211张。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各类卫生技术人员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3518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人。其中，执业和执业（助理）医师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1267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人，注册护士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1364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人。每千人执业（助理）医师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3.65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人，每千人注册护士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3.93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人，每千人有医院床位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6.37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张。传染病报告发病率(甲乙类传染病)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148.4243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/10万，孕产妇死亡率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师市最低生活保障累计发放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1.31万人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次，下达兵团低保资金预算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1309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 xml:space="preserve">万元，发放低保、补助资金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2339.71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万元。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发放医疗救助资金445.04万元，1.04万人次得到医疗救助。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全年国家抚恤、补助各类优抚对象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304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人，接收自主就业退役士兵115人，复员干部1人，兵团移交安置任务3人。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</w:rPr>
        <w:t>年末有各类收养性单位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</w:rPr>
        <w:t>个，床位数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  <w:lang w:val="en-US" w:eastAsia="zh-CN"/>
        </w:rPr>
        <w:t>1906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</w:rPr>
        <w:t>张，在院收养人数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  <w:lang w:val="en-US" w:eastAsia="zh-CN"/>
        </w:rPr>
        <w:t>1273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u w:val="none"/>
        </w:rPr>
        <w:t>人。</w:t>
      </w:r>
    </w:p>
    <w:p>
      <w:pPr>
        <w:keepNext w:val="0"/>
        <w:keepLines w:val="0"/>
        <w:pageBreakBefore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十一、人民生活与社会保障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根据住户收支与生活状况调查，全年师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城镇常住居民人均可支配收入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45465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元，比上年增长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5.1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%；连队常住居民人均可支配收入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26476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元，增长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11.6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24" w:firstLineChars="200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  <w:lang w:val="en-US" w:eastAsia="zh-CN"/>
        </w:rPr>
        <w:t>师市“民生实事”6大类34个项目，完成投资2</w:t>
      </w:r>
      <w:r>
        <w:rPr>
          <w:rFonts w:hint="eastAsia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  <w:lang w:val="en-US" w:eastAsia="zh-CN"/>
        </w:rPr>
        <w:t>.06亿</w:t>
      </w:r>
      <w:r>
        <w:rPr>
          <w:rFonts w:hint="default" w:ascii="Times New Roman" w:hAnsi="Times New Roman" w:eastAsia="方正仿宋简体" w:cs="Times New Roman"/>
          <w:color w:val="auto"/>
          <w:spacing w:val="-4"/>
          <w:sz w:val="32"/>
          <w:szCs w:val="32"/>
          <w:highlight w:val="none"/>
          <w:lang w:val="en-US" w:eastAsia="zh-CN"/>
        </w:rPr>
        <w:t>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年末参加职工基本养老保险人数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20.18万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人、居民社会养老保险参保人数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1.58万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人。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加基本医疗保险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28.46万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人，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其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</w:rPr>
        <w:t>中职工基本医疗保险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  <w:lang w:val="en-US" w:eastAsia="zh-CN"/>
        </w:rPr>
        <w:t>16.94万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  <w:highlight w:val="none"/>
        </w:rPr>
        <w:t>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居民基本医疗保险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11.52万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人。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参加失业保险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7.12万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人、工伤保险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7.81万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全年受理劳动保障监察投诉案件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 xml:space="preserve">1155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件，结案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 xml:space="preserve">1155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 xml:space="preserve"> 件，结案率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100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%；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无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受理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劳动保障行政复议案件；处理劳动争议案件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279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件，其中，调解处理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134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 xml:space="preserve">件，立案处理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145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件，结案率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96.9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</w:rPr>
        <w:t>%。</w:t>
      </w:r>
    </w:p>
    <w:p>
      <w:pPr>
        <w:keepNext w:val="0"/>
        <w:keepLines w:val="0"/>
        <w:pageBreakBefore w:val="0"/>
        <w:tabs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jc w:val="left"/>
        <w:textAlignment w:val="auto"/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 十二、资源、环境与安全生产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  <w:lang w:eastAsia="zh-CN"/>
        </w:rPr>
        <w:t>师市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拥有土地面积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  <w:u w:val="none"/>
          <w:lang w:val="en-US" w:eastAsia="zh-CN"/>
        </w:rPr>
        <w:t>7477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平方公里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。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全年批准建设用地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  <w:lang w:val="en-US" w:eastAsia="zh-CN"/>
        </w:rPr>
        <w:t>0.39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万亩，供应土地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  <w:lang w:val="en-US" w:eastAsia="zh-CN"/>
        </w:rPr>
        <w:t>0.64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万亩，土地出让合同价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  <w:lang w:val="en-US" w:eastAsia="zh-CN"/>
        </w:rPr>
        <w:t>2.67</w:t>
      </w: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亿元。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  <w:t>全年垦区水资源径流量11.5亿立方米，其中，地表水资源5.7亿立方米，地下水资源5.8亿立方米。淡水面积  3.23千公顷。年末 23 座水库总容量2.5亿立方米。全年总用水量中农业灌溉用水10.3亿立方米，工业、生活及城市绿化用水1.18亿立方米。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全年垦区平均气温 7.6 ℃，与去年持平。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jc w:val="center"/>
        <w:textAlignment w:val="auto"/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  <w:highlight w:val="none"/>
        </w:rPr>
      </w:pPr>
      <w:r>
        <w:rPr>
          <w:rFonts w:hint="default" w:ascii="Times New Roman" w:hAnsi="Times New Roman" w:cs="Times New Roman" w:eastAsiaTheme="minorEastAsia"/>
          <w:color w:val="000000"/>
          <w:sz w:val="28"/>
          <w:szCs w:val="28"/>
          <w:highlight w:val="none"/>
        </w:rPr>
        <w:t>表</w:t>
      </w:r>
      <w:r>
        <w:rPr>
          <w:rFonts w:hint="default" w:ascii="Times New Roman" w:hAnsi="Times New Roman" w:cs="Times New Roman" w:eastAsiaTheme="minorEastAsia"/>
          <w:color w:val="000000"/>
          <w:sz w:val="28"/>
          <w:szCs w:val="28"/>
          <w:highlight w:val="none"/>
          <w:lang w:val="en-US" w:eastAsia="zh-CN"/>
        </w:rPr>
        <w:t>6</w:t>
      </w:r>
      <w:r>
        <w:rPr>
          <w:rFonts w:hint="default" w:ascii="Times New Roman" w:hAnsi="Times New Roman" w:cs="Times New Roman" w:eastAsiaTheme="minorEastAsia"/>
          <w:color w:val="000000"/>
          <w:sz w:val="28"/>
          <w:szCs w:val="28"/>
          <w:highlight w:val="none"/>
        </w:rPr>
        <w:t xml:space="preserve">   </w:t>
      </w:r>
      <w:r>
        <w:rPr>
          <w:rFonts w:hint="default" w:ascii="Times New Roman" w:hAnsi="Times New Roman" w:cs="Times New Roman" w:eastAsiaTheme="minorEastAsia"/>
          <w:color w:val="000000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  <w:highlight w:val="none"/>
        </w:rPr>
        <w:t>20</w:t>
      </w: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  <w:highlight w:val="none"/>
          <w:lang w:val="en-US" w:eastAsia="zh-CN"/>
        </w:rPr>
        <w:t>21</w:t>
      </w:r>
      <w:r>
        <w:rPr>
          <w:rFonts w:hint="default" w:ascii="Times New Roman" w:hAnsi="Times New Roman" w:cs="Times New Roman" w:eastAsiaTheme="minorEastAsia"/>
          <w:color w:val="000000"/>
          <w:kern w:val="0"/>
          <w:sz w:val="28"/>
          <w:szCs w:val="28"/>
          <w:highlight w:val="none"/>
        </w:rPr>
        <w:t>年垦区气候情况</w:t>
      </w:r>
    </w:p>
    <w:tbl>
      <w:tblPr>
        <w:tblStyle w:val="7"/>
        <w:tblW w:w="517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1764"/>
        <w:gridCol w:w="1764"/>
        <w:gridCol w:w="1764"/>
        <w:gridCol w:w="17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exact"/>
        </w:trPr>
        <w:tc>
          <w:tcPr>
            <w:tcW w:w="997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地区</w:t>
            </w:r>
          </w:p>
        </w:tc>
        <w:tc>
          <w:tcPr>
            <w:tcW w:w="100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240" w:lineRule="exact"/>
              <w:ind w:right="-105" w:rightChars="-50" w:firstLine="210" w:firstLineChars="100"/>
              <w:jc w:val="both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平均气温（℃）</w:t>
            </w:r>
          </w:p>
        </w:tc>
        <w:tc>
          <w:tcPr>
            <w:tcW w:w="100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降水量（毫米）</w:t>
            </w:r>
          </w:p>
        </w:tc>
        <w:tc>
          <w:tcPr>
            <w:tcW w:w="100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无霜天数（天)</w:t>
            </w:r>
          </w:p>
        </w:tc>
        <w:tc>
          <w:tcPr>
            <w:tcW w:w="1000" w:type="pct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日照时间（小时）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997" w:type="pc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芳草湖</w:t>
            </w:r>
          </w:p>
        </w:tc>
        <w:tc>
          <w:tcPr>
            <w:tcW w:w="1000" w:type="pc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7.8</w:t>
            </w:r>
          </w:p>
        </w:tc>
        <w:tc>
          <w:tcPr>
            <w:tcW w:w="1000" w:type="pc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135.1</w:t>
            </w:r>
          </w:p>
        </w:tc>
        <w:tc>
          <w:tcPr>
            <w:tcW w:w="1000" w:type="pc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167</w:t>
            </w:r>
          </w:p>
        </w:tc>
        <w:tc>
          <w:tcPr>
            <w:tcW w:w="1000" w:type="pct"/>
            <w:tcBorders>
              <w:top w:val="single" w:color="auto" w:sz="6" w:space="0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2136.1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exact"/>
        </w:trPr>
        <w:tc>
          <w:tcPr>
            <w:tcW w:w="997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新湖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7.5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109.6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153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2280.9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997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奇台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6.9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218.5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161</w:t>
            </w:r>
          </w:p>
        </w:tc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eastAsia="宋体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2350.7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997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spacing w:line="240" w:lineRule="exact"/>
              <w:ind w:right="-105" w:rightChars="-50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</w:rPr>
              <w:t>五家渠</w:t>
            </w:r>
          </w:p>
        </w:tc>
        <w:tc>
          <w:tcPr>
            <w:tcW w:w="1000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7.9</w:t>
            </w:r>
          </w:p>
        </w:tc>
        <w:tc>
          <w:tcPr>
            <w:tcW w:w="1000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171.2</w:t>
            </w:r>
          </w:p>
        </w:tc>
        <w:tc>
          <w:tcPr>
            <w:tcW w:w="1000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172</w:t>
            </w:r>
          </w:p>
        </w:tc>
        <w:tc>
          <w:tcPr>
            <w:tcW w:w="1000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spacing w:line="240" w:lineRule="exact"/>
              <w:ind w:right="-105" w:rightChars="-50"/>
              <w:jc w:val="center"/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1"/>
                <w:szCs w:val="21"/>
                <w:highlight w:val="none"/>
                <w:lang w:val="en-US" w:eastAsia="zh-CN"/>
              </w:rPr>
              <w:t>2363.9</w:t>
            </w:r>
          </w:p>
        </w:tc>
      </w:tr>
    </w:tbl>
    <w:p>
      <w:pPr>
        <w:snapToGrid w:val="0"/>
        <w:spacing w:line="300" w:lineRule="exact"/>
        <w:jc w:val="both"/>
        <w:rPr>
          <w:rFonts w:hint="default" w:ascii="Times New Roman" w:hAnsi="Times New Roman" w:cs="Times New Roman"/>
          <w:color w:val="auto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全年规模以上工业企业综合能源消费量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1034.08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万吨标准煤，比上年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增长19.8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%。其中，原煤消费量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1042.67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万吨，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增长22.5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焦炭43.83万吨，增长6.7%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天然气10683.42万立方米，增长237.5%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；汽油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104.9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吨，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增长3.5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 w:eastAsia="zh-CN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；柴油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2886.36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吨，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增长148.8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%；电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力281.2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亿千瓦小时，增长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12.3%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据国家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生态环境部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初步核定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的2021年环境统计数据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2021年全师工业企业主要污染物化学需氧量排放量500.3吨，比上年下降16.3%；氨氮排放量5.33吨，比上年下降77.3%；二氧化硫排放量11327.7吨，比上年下降7.3%；氮氧化物排放量8490.9吨，比上年增长13.8%。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zh-CN"/>
        </w:rPr>
        <w:t>全年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共发生交通事故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4261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起，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76.7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死亡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人，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78.3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经济损失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127.92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万元，增长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56.6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发生火灾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起，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300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经济损失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90.05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  <w:t>万元。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  <w:t>师市建筑施工领域发生1起高处坠落生产安全事故，死亡1人；工矿商贸领域未发生统计范围内重伤及以上生产安全事故；煤矿百万吨死亡人数为0人。2021年度师市被兵团安全生产委员会评为兵团安全生产“先进师市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 w:firstLineChars="200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方正黑体简体" w:cs="Times New Roman"/>
          <w:color w:val="auto"/>
          <w:sz w:val="32"/>
          <w:szCs w:val="32"/>
          <w:highlight w:val="none"/>
          <w:lang w:val="en-US" w:eastAsia="zh-CN"/>
        </w:rPr>
        <w:t xml:space="preserve">   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简体" w:cs="Times New Roman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</w:pP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资料来源：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640" w:firstLineChars="200"/>
        <w:jc w:val="left"/>
        <w:textAlignment w:val="auto"/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本公报中国有控股农工建交商企业实现利润、全年上缴各类税费数据来自财政局；养老保险、医疗保险、失业保险、工伤保险、劳动保障监察数据来自人力资源和社会保障局；农作物精量播种面积、测土配方施肥面积、农业机械化水平、良种推广、龙头企业、“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en-US" w:eastAsia="zh-CN"/>
        </w:rPr>
        <w:t>两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品一标”、农业示范区数据来自农业农村局；水资源、有效灌溉面积、节水面积来自水利局；经济技术开发区数据来自开发区管委会；公路通达里程数据来自交通运输局；“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zh-CN"/>
        </w:rPr>
        <w:t>民生实事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”来自发改委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eastAsia="zh-CN"/>
        </w:rPr>
        <w:t>；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驻师银行机构对六师金融存贷款数据来自人民银行五家渠支行；货物进出口、招商引资数据来自商务局；广播、电视、文化活动旅游方面数据来自文化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en-US" w:eastAsia="zh-CN"/>
        </w:rPr>
        <w:t>体育广电和旅游局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；学校、在校生、教职工、毕业生、入学率数据来自教育局；科学研究机构、科技经费、科技项目来自科技局；专利数据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eastAsia="zh-CN"/>
        </w:rPr>
        <w:t>来自市场监督管理局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；卫生机构、卫生技术人员、医院床位、传染发病率、孕产妇死亡率数据来自卫健委；收养单位、低保补助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en-US" w:eastAsia="zh-CN"/>
        </w:rPr>
        <w:t>数据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来自民政局；医疗救助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en-US" w:eastAsia="zh-CN"/>
        </w:rPr>
        <w:t>数据来自医疗保障局；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</w:rPr>
        <w:t>优抚数据来自退役军人事务管理局；建设用地、供应地、土地出让数据来自自然资源和规划局；工矿商贸企业死亡人数、安全生产数据来自应急管理局；污染物排放数据来自生态环境局</w:t>
      </w:r>
      <w:r>
        <w:rPr>
          <w:rFonts w:hint="eastAsia" w:ascii="方正楷体简体" w:hAnsi="方正楷体简体" w:eastAsia="方正楷体简体" w:cs="方正楷体简体"/>
          <w:color w:val="auto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</w:p>
    <w:p>
      <w:pPr>
        <w:snapToGrid w:val="0"/>
        <w:spacing w:line="300" w:lineRule="exact"/>
        <w:rPr>
          <w:rFonts w:hint="default" w:ascii="Times New Roman" w:hAnsi="Times New Roman" w:cs="Times New Roman"/>
          <w:color w:val="auto"/>
          <w:sz w:val="18"/>
          <w:szCs w:val="1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none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文鼎CS大宋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</w:pP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begin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separate"/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t>1</w:t>
                </w:r>
                <w:r>
                  <w:rPr>
                    <w:rFonts w:hint="eastAsia" w:asciiTheme="minorEastAsia" w:hAnsiTheme="minorEastAsia" w:eastAsiaTheme="minorEastAsia" w:cstheme="minorEastAsia"/>
                    <w:sz w:val="28"/>
                    <w:szCs w:val="2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922F45"/>
    <w:rsid w:val="018B5F3E"/>
    <w:rsid w:val="019717F1"/>
    <w:rsid w:val="01CC361A"/>
    <w:rsid w:val="01D00C20"/>
    <w:rsid w:val="02446613"/>
    <w:rsid w:val="05F561E8"/>
    <w:rsid w:val="06231509"/>
    <w:rsid w:val="073A36C4"/>
    <w:rsid w:val="085C097A"/>
    <w:rsid w:val="08885482"/>
    <w:rsid w:val="08EC176A"/>
    <w:rsid w:val="0A5E0FA3"/>
    <w:rsid w:val="0C08590D"/>
    <w:rsid w:val="0C50077B"/>
    <w:rsid w:val="0EBA5CFC"/>
    <w:rsid w:val="0EF2559E"/>
    <w:rsid w:val="10DB7B52"/>
    <w:rsid w:val="11A34988"/>
    <w:rsid w:val="11DB1D44"/>
    <w:rsid w:val="124759AF"/>
    <w:rsid w:val="147559D0"/>
    <w:rsid w:val="15484967"/>
    <w:rsid w:val="15E03437"/>
    <w:rsid w:val="17906055"/>
    <w:rsid w:val="17A37ABC"/>
    <w:rsid w:val="18992641"/>
    <w:rsid w:val="18FF26DA"/>
    <w:rsid w:val="1B217196"/>
    <w:rsid w:val="1C494EFB"/>
    <w:rsid w:val="1C765F0E"/>
    <w:rsid w:val="1C791C8B"/>
    <w:rsid w:val="1C9B3621"/>
    <w:rsid w:val="1D0C151E"/>
    <w:rsid w:val="1D820E4A"/>
    <w:rsid w:val="1DD95931"/>
    <w:rsid w:val="1EC0376A"/>
    <w:rsid w:val="1F0750BD"/>
    <w:rsid w:val="1FC56DA0"/>
    <w:rsid w:val="221036F2"/>
    <w:rsid w:val="22A16535"/>
    <w:rsid w:val="2473625F"/>
    <w:rsid w:val="2482765C"/>
    <w:rsid w:val="25295E1A"/>
    <w:rsid w:val="25B328A6"/>
    <w:rsid w:val="25F5685D"/>
    <w:rsid w:val="264E4B51"/>
    <w:rsid w:val="26E13FA4"/>
    <w:rsid w:val="27515196"/>
    <w:rsid w:val="27D4739A"/>
    <w:rsid w:val="294142BC"/>
    <w:rsid w:val="29D66067"/>
    <w:rsid w:val="2D4C1412"/>
    <w:rsid w:val="30831360"/>
    <w:rsid w:val="314277C9"/>
    <w:rsid w:val="318B13EE"/>
    <w:rsid w:val="31BC6A56"/>
    <w:rsid w:val="395C37E0"/>
    <w:rsid w:val="399610B8"/>
    <w:rsid w:val="39ED1E76"/>
    <w:rsid w:val="3A6A67D9"/>
    <w:rsid w:val="3B9D07B4"/>
    <w:rsid w:val="3C4043B9"/>
    <w:rsid w:val="3C505D60"/>
    <w:rsid w:val="3CB37FEC"/>
    <w:rsid w:val="3CDB7FF7"/>
    <w:rsid w:val="3D043EBB"/>
    <w:rsid w:val="3D29267F"/>
    <w:rsid w:val="3D493B7F"/>
    <w:rsid w:val="3E277C9E"/>
    <w:rsid w:val="3E466C7A"/>
    <w:rsid w:val="3E6C2C1D"/>
    <w:rsid w:val="3F2502EE"/>
    <w:rsid w:val="3FF51ECC"/>
    <w:rsid w:val="417B7010"/>
    <w:rsid w:val="437F1582"/>
    <w:rsid w:val="43DA3F0C"/>
    <w:rsid w:val="44B26561"/>
    <w:rsid w:val="46195641"/>
    <w:rsid w:val="4630240B"/>
    <w:rsid w:val="47431BC9"/>
    <w:rsid w:val="49B125A8"/>
    <w:rsid w:val="4BBC058C"/>
    <w:rsid w:val="4C464604"/>
    <w:rsid w:val="4C63538E"/>
    <w:rsid w:val="4D7F1AF0"/>
    <w:rsid w:val="4DC11F7A"/>
    <w:rsid w:val="4F2464A4"/>
    <w:rsid w:val="4FCF6FF9"/>
    <w:rsid w:val="522D344A"/>
    <w:rsid w:val="52D51370"/>
    <w:rsid w:val="52F53312"/>
    <w:rsid w:val="53DF1917"/>
    <w:rsid w:val="560B1134"/>
    <w:rsid w:val="56BF09B5"/>
    <w:rsid w:val="56D54EB3"/>
    <w:rsid w:val="57F25A8D"/>
    <w:rsid w:val="589B68B1"/>
    <w:rsid w:val="59394B80"/>
    <w:rsid w:val="596F283F"/>
    <w:rsid w:val="59745E68"/>
    <w:rsid w:val="5C84698C"/>
    <w:rsid w:val="5CA210BB"/>
    <w:rsid w:val="5D594D1D"/>
    <w:rsid w:val="5E3F2609"/>
    <w:rsid w:val="5EF52478"/>
    <w:rsid w:val="5F1640C3"/>
    <w:rsid w:val="5FBD63DA"/>
    <w:rsid w:val="60D8781B"/>
    <w:rsid w:val="613377F6"/>
    <w:rsid w:val="618C5EE9"/>
    <w:rsid w:val="61DD693B"/>
    <w:rsid w:val="62D05637"/>
    <w:rsid w:val="64CE4061"/>
    <w:rsid w:val="65A673D9"/>
    <w:rsid w:val="65CD5EB4"/>
    <w:rsid w:val="66984B5A"/>
    <w:rsid w:val="66D32199"/>
    <w:rsid w:val="66DB6546"/>
    <w:rsid w:val="67D739FB"/>
    <w:rsid w:val="69BD2191"/>
    <w:rsid w:val="6B49324E"/>
    <w:rsid w:val="6CC31830"/>
    <w:rsid w:val="6D3C0734"/>
    <w:rsid w:val="6E6F707A"/>
    <w:rsid w:val="6E757FD0"/>
    <w:rsid w:val="6ED4602B"/>
    <w:rsid w:val="6F0D3D67"/>
    <w:rsid w:val="70B50130"/>
    <w:rsid w:val="70B85184"/>
    <w:rsid w:val="72123AB2"/>
    <w:rsid w:val="725D6034"/>
    <w:rsid w:val="73ED4790"/>
    <w:rsid w:val="73EE624F"/>
    <w:rsid w:val="748503A6"/>
    <w:rsid w:val="754D01DA"/>
    <w:rsid w:val="7569614A"/>
    <w:rsid w:val="768C4B5E"/>
    <w:rsid w:val="77AD6592"/>
    <w:rsid w:val="7A3366D0"/>
    <w:rsid w:val="7A5E6AA8"/>
    <w:rsid w:val="7A6F3722"/>
    <w:rsid w:val="7E533067"/>
    <w:rsid w:val="7E930822"/>
    <w:rsid w:val="7E982F81"/>
    <w:rsid w:val="7EB50EDD"/>
    <w:rsid w:val="7EF6717D"/>
    <w:rsid w:val="7F2C63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paragraph" w:styleId="6">
    <w:name w:val="Title"/>
    <w:basedOn w:val="1"/>
    <w:next w:val="1"/>
    <w:qFormat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9">
    <w:name w:val="FollowedHyperlink"/>
    <w:basedOn w:val="8"/>
    <w:qFormat/>
    <w:uiPriority w:val="0"/>
    <w:rPr>
      <w:color w:val="800080"/>
      <w:u w:val="none"/>
    </w:rPr>
  </w:style>
  <w:style w:type="character" w:styleId="10">
    <w:name w:val="Hyperlink"/>
    <w:basedOn w:val="8"/>
    <w:qFormat/>
    <w:uiPriority w:val="0"/>
    <w:rPr>
      <w:color w:val="0000FF"/>
      <w:u w:val="none"/>
    </w:rPr>
  </w:style>
  <w:style w:type="paragraph" w:customStyle="1" w:styleId="11">
    <w:name w:val="标题a"/>
    <w:basedOn w:val="6"/>
    <w:qFormat/>
    <w:uiPriority w:val="99"/>
    <w:pPr>
      <w:spacing w:before="0" w:after="0" w:line="410" w:lineRule="exact"/>
    </w:pPr>
    <w:rPr>
      <w:rFonts w:ascii="Times New Roman" w:hAnsi="Times New Roman" w:eastAsia="文鼎CS大宋" w:cs="Arial"/>
      <w:b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14864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2021-02-26T10:48:00Z</dcterms:created>
  <dc:creator>Administrator</dc:creator>
  <cp:lastModifiedBy>WPS_1625480090</cp:lastModifiedBy>
  <cp:lastPrinted>2022-03-23T03:16:00Z</cp:lastPrinted>
  <dcterms:modified xsi:type="dcterms:W3CDTF">2022-03-30T08:42:42Z</dcterms:modified>
  <dc:title>新疆生产建设兵团第六师五家渠市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BFF709F0975341579A805846D3AA58BE</vt:lpwstr>
  </property>
</Properties>
</file>