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kern w:val="0"/>
                <w:sz w:val="24"/>
              </w:rPr>
              <w:t>日价格波动如下，肉类及水产鱼类价格：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猪肉、牛</w:t>
            </w:r>
            <w:r>
              <w:rPr>
                <w:kern w:val="0"/>
                <w:sz w:val="24"/>
              </w:rPr>
              <w:t>肉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鸡肉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羊肉价格微涨，羊排骨肉上涨3.17%；鱼肉价格下降，草鱼下跌11.11%。小白菜上涨36.36%、圆茄子上涨20%、韭菜上涨16.67%、西葫芦下跌20%、油麦菜下跌16.67%、黄瓜下跌9.09%、螺丝椒下跌9.09%、菠菜下跌7.69%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新蒜薹上市，与老蒜薹并存在市场上，新蒜薹价格为26元/公斤，老蒜薹价格为12元/公斤）</w:t>
            </w:r>
            <w:r>
              <w:rPr>
                <w:rFonts w:hint="eastAsia"/>
                <w:kern w:val="0"/>
                <w:sz w:val="24"/>
              </w:rPr>
              <w:t>鸡蛋价格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较上周持平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水果价格较上周持平；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除部分绿叶蔬菜价格因供应紧张出现较大涨幅，市场整体价格稳中有降</w:t>
            </w:r>
            <w:r>
              <w:rPr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hint="eastAsia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331C52"/>
    <w:rsid w:val="261B3AF5"/>
    <w:rsid w:val="274A03D6"/>
    <w:rsid w:val="275071F8"/>
    <w:rsid w:val="28573B2D"/>
    <w:rsid w:val="28BC3B9E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762</Characters>
  <Lines>3</Lines>
  <Paragraphs>2</Paragraphs>
  <TotalTime>36</TotalTime>
  <ScaleCrop>false</ScaleCrop>
  <LinksUpToDate>false</LinksUpToDate>
  <CharactersWithSpaces>5829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2023-02-27T03:15:39Z</cp:lastPrinted>
  <dcterms:modified xsi:type="dcterms:W3CDTF">2023-02-27T05:21:35Z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