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新疆生产建设兵团第六师五家渠市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年国民经济和社会发展统计公报</w:t>
      </w:r>
    </w:p>
    <w:p>
      <w:pPr>
        <w:snapToGrid w:val="0"/>
        <w:spacing w:line="300" w:lineRule="exact"/>
        <w:jc w:val="center"/>
        <w:rPr>
          <w:rFonts w:hint="default" w:ascii="Times New Roman" w:hAnsi="Times New Roman" w:eastAsia="方正楷体简体" w:cs="Times New Roman"/>
          <w:color w:val="auto"/>
          <w:sz w:val="32"/>
          <w:szCs w:val="32"/>
          <w:highlight w:val="none"/>
        </w:rPr>
      </w:pPr>
    </w:p>
    <w:p>
      <w:pPr>
        <w:snapToGrid w:val="0"/>
        <w:spacing w:line="300" w:lineRule="exact"/>
        <w:jc w:val="center"/>
        <w:rPr>
          <w:rFonts w:hint="default" w:ascii="Times New Roman" w:hAnsi="Times New Roman" w:eastAsia="方正楷体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highlight w:val="none"/>
        </w:rPr>
        <w:t>第六师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highlight w:val="none"/>
          <w:lang w:val="en-US" w:eastAsia="zh-CN"/>
        </w:rPr>
        <w:t>五家渠市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highlight w:val="none"/>
        </w:rPr>
        <w:t>统计局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highlight w:val="none"/>
        </w:rPr>
        <w:t>国家统计局兵团第六师调查队</w:t>
      </w:r>
    </w:p>
    <w:p>
      <w:pPr>
        <w:snapToGrid w:val="0"/>
        <w:spacing w:line="300" w:lineRule="exact"/>
        <w:jc w:val="left"/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2023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月27日）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2022年是党和国家历史上极为重要的一年。党的二十大胜利召开，擘画了全面建设社会主义现代化国家、以中国式现代化全面推进中华民族伟大复兴的宏伟蓝图。面对艰巨繁重的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经济社会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改革发展稳定任务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师市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上下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坚持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以习近平新时代中国特色社会主义思想为指导，深入贯彻落实党的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二十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和第三次中央新疆工作座谈会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精神，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按照党中央、国务院决策部署，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紧紧围绕新疆工作总目标，聚焦兵团职责使命，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统筹疫情防控和经济社会发展，统筹发展和安全，坚持稳中求进工作总基调，完整、准确、全面贯彻新发展理念，加快构建新发展格局，着力推动高质量发展，加大宏观调控力度，应对超预期因素冲击，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师市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经济保持增长，发展质量稳步提升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经济社会大局保持稳定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</w:rPr>
        <w:t>一、综合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经兵团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初步核算，202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年师市实现生产总值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6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亿元，比上年增长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%（按2020年可比价，下同）。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第一产业增加值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78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89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；第二产业增加值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32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82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亿元，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；</w:t>
      </w:r>
      <w:r>
        <w:rPr>
          <w:rFonts w:hint="eastAsia" w:ascii="方正仿宋简体" w:hAnsi="方正仿宋简体" w:eastAsia="方正仿宋简体" w:cs="方正仿宋简体"/>
          <w:snapToGrid/>
          <w:kern w:val="2"/>
          <w:sz w:val="32"/>
          <w:szCs w:val="32"/>
          <w:highlight w:val="none"/>
          <w:lang w:val="en-US" w:eastAsia="zh-CN"/>
        </w:rPr>
        <w:t>第三产业增加值</w:t>
      </w:r>
      <w:r>
        <w:rPr>
          <w:rFonts w:hint="eastAsia" w:ascii="Times New Roman" w:hAnsi="Times New Roman" w:eastAsia="方正仿宋简体" w:cs="方正仿宋简体"/>
          <w:snapToGrid/>
          <w:kern w:val="2"/>
          <w:sz w:val="32"/>
          <w:szCs w:val="32"/>
          <w:highlight w:val="none"/>
          <w:lang w:val="en-US" w:eastAsia="zh-CN"/>
        </w:rPr>
        <w:t>114</w:t>
      </w:r>
      <w:r>
        <w:rPr>
          <w:rFonts w:hint="eastAsia" w:ascii="方正仿宋简体" w:hAnsi="方正仿宋简体" w:eastAsia="方正仿宋简体" w:cs="方正仿宋简体"/>
          <w:snapToGrid/>
          <w:kern w:val="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snapToGrid/>
          <w:kern w:val="2"/>
          <w:sz w:val="32"/>
          <w:szCs w:val="32"/>
          <w:highlight w:val="none"/>
          <w:lang w:val="en-US" w:eastAsia="zh-CN"/>
        </w:rPr>
        <w:t>55</w:t>
      </w:r>
      <w:r>
        <w:rPr>
          <w:rFonts w:hint="eastAsia" w:ascii="方正仿宋简体" w:hAnsi="方正仿宋简体" w:eastAsia="方正仿宋简体" w:cs="方正仿宋简体"/>
          <w:snapToGrid/>
          <w:kern w:val="2"/>
          <w:sz w:val="32"/>
          <w:szCs w:val="32"/>
          <w:highlight w:val="none"/>
          <w:lang w:val="en-US" w:eastAsia="zh-CN"/>
        </w:rPr>
        <w:t>亿元</w:t>
      </w:r>
      <w:r>
        <w:rPr>
          <w:rFonts w:hint="eastAsia" w:ascii="方正仿宋简体" w:hAnsi="方正仿宋简体" w:eastAsia="方正仿宋简体" w:cs="方正仿宋简体"/>
          <w:snapToGrid/>
          <w:kern w:val="2"/>
          <w:sz w:val="32"/>
          <w:szCs w:val="32"/>
          <w:highlight w:val="none"/>
        </w:rPr>
        <w:t>，</w:t>
      </w:r>
      <w:r>
        <w:rPr>
          <w:rFonts w:hint="eastAsia" w:ascii="方正仿宋简体" w:hAnsi="方正仿宋简体" w:eastAsia="方正仿宋简体" w:cs="方正仿宋简体"/>
          <w:snapToGrid/>
          <w:kern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简体" w:cs="方正仿宋简体"/>
          <w:snapToGrid/>
          <w:kern w:val="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方正仿宋简体" w:cs="方正仿宋简体"/>
          <w:snapToGrid/>
          <w:kern w:val="2"/>
          <w:sz w:val="32"/>
          <w:szCs w:val="32"/>
          <w:highlight w:val="none"/>
        </w:rPr>
        <w:t>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。三次产业占生产总值比重为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5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，上年为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20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54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: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26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三次产业对经济的贡献率分别为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61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53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，分别拉动经济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%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2022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年末六师总人口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36.55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万人，比上年增长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2.8%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，其中，男性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19.65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万人，女性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16.9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万人。性别比为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116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（女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=100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）。全年出生人口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1579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人，出生率为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4.3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‰；死亡人口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1639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人，死亡率为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4.5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‰；人口自然增长率为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-0.2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‰。人口增速逐步放缓。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师市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国有控股农工建交商企业实现利润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亿元，比上年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增加亏损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</w:rPr>
        <w:t>二、农业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师市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实现农业总产值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186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71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亿元，增长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8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3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。实现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农业增加值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87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比上年增长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eastAsia" w:eastAsia="方正仿宋简体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，其中农林牧渔业增加值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亿元，比上年增长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全年农作物播种面积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195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47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千公顷(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293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2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万亩）,增长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1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1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%，其中，粮食种植面积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44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23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千公顷（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66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35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万亩），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5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2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%；棉花种植面积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121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54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千公顷（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182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31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万亩），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0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3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%；油料种植面积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0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87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千公顷（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1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31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万亩），下降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19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3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%；蔬菜种植面积（含菜用瓜）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7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74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千公顷（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11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61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万亩），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增长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21</w:t>
      </w:r>
      <w:r>
        <w:rPr>
          <w:rFonts w:hint="eastAsia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.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9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作物精量播种面积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184.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千公顷（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万亩），比上年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增加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%。其中，棉花精量播种面积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121.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千公顷（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182.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万亩），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%。测土配方施肥面积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千公顷（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万亩），增长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全年粮食产量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万吨，增长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%；棉花产量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万吨，增长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%；油料产量为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万吨，下降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图1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201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—20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年棉花产量及其增长速度</w:t>
      </w:r>
    </w:p>
    <w:p>
      <w:pPr>
        <w:snapToGrid w:val="0"/>
        <w:spacing w:line="300" w:lineRule="exact"/>
        <w:jc w:val="center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</w:p>
    <w:p>
      <w:pPr>
        <w:snapToGrid w:val="0"/>
        <w:spacing w:line="240" w:lineRule="auto"/>
        <w:jc w:val="both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pict>
          <v:shape id="_x0000_i1025" o:spt="75" alt="图片2" type="#_x0000_t75" style="height:273.35pt;width:414.95pt;" filled="f" o:preferrelative="t" stroked="f" coordsize="21600,21600">
            <v:path/>
            <v:fill on="f" focussize="0,0"/>
            <v:stroke on="f"/>
            <v:imagedata r:id="rId5" o:title="图片2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表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1 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20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年主要农、畜产品生产情况及其增长速度</w:t>
      </w:r>
    </w:p>
    <w:tbl>
      <w:tblPr>
        <w:tblStyle w:val="13"/>
        <w:tblpPr w:leftFromText="180" w:rightFromText="180" w:vertAnchor="text" w:horzAnchor="page" w:tblpX="2365" w:tblpY="192"/>
        <w:tblOverlap w:val="never"/>
        <w:tblW w:w="77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1732"/>
        <w:gridCol w:w="1734"/>
        <w:gridCol w:w="1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55" w:hRule="exact"/>
        </w:trPr>
        <w:tc>
          <w:tcPr>
            <w:tcW w:w="2581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指标</w:t>
            </w:r>
          </w:p>
        </w:tc>
        <w:tc>
          <w:tcPr>
            <w:tcW w:w="173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计量单位</w:t>
            </w:r>
          </w:p>
        </w:tc>
        <w:tc>
          <w:tcPr>
            <w:tcW w:w="17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绝对数</w:t>
            </w:r>
          </w:p>
        </w:tc>
        <w:tc>
          <w:tcPr>
            <w:tcW w:w="173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比上年增减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%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581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粮食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万吨</w:t>
            </w:r>
          </w:p>
        </w:tc>
        <w:tc>
          <w:tcPr>
            <w:tcW w:w="1734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43.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581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棉花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万吨</w:t>
            </w:r>
          </w:p>
        </w:tc>
        <w:tc>
          <w:tcPr>
            <w:tcW w:w="1734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32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48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581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油料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万吨</w:t>
            </w:r>
          </w:p>
        </w:tc>
        <w:tc>
          <w:tcPr>
            <w:tcW w:w="1734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0.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35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581" w:type="dxa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蔬菜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万吨</w:t>
            </w:r>
          </w:p>
        </w:tc>
        <w:tc>
          <w:tcPr>
            <w:tcW w:w="1734" w:type="dxa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89.43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581" w:type="dxa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＃工业用番茄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万吨</w:t>
            </w:r>
          </w:p>
        </w:tc>
        <w:tc>
          <w:tcPr>
            <w:tcW w:w="1734" w:type="dxa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65.71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581" w:type="dxa"/>
            <w:tcBorders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水果</w:t>
            </w:r>
          </w:p>
        </w:tc>
        <w:tc>
          <w:tcPr>
            <w:tcW w:w="1732" w:type="dxa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万吨</w:t>
            </w:r>
          </w:p>
        </w:tc>
        <w:tc>
          <w:tcPr>
            <w:tcW w:w="1734" w:type="dxa"/>
            <w:tcBorders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5.42</w:t>
            </w:r>
          </w:p>
        </w:tc>
        <w:tc>
          <w:tcPr>
            <w:tcW w:w="1732" w:type="dxa"/>
            <w:tcBorders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581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年末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猪牛羊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存栏头数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万头(只)</w:t>
            </w:r>
          </w:p>
        </w:tc>
        <w:tc>
          <w:tcPr>
            <w:tcW w:w="1734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113.09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581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＃牛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万头</w:t>
            </w:r>
          </w:p>
        </w:tc>
        <w:tc>
          <w:tcPr>
            <w:tcW w:w="1734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65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31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581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ind w:firstLine="180" w:firstLineChars="1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猪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万头</w:t>
            </w:r>
          </w:p>
        </w:tc>
        <w:tc>
          <w:tcPr>
            <w:tcW w:w="1734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63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53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581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ind w:firstLine="180" w:firstLineChars="10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羊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万只</w:t>
            </w:r>
          </w:p>
        </w:tc>
        <w:tc>
          <w:tcPr>
            <w:tcW w:w="1734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42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91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581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年内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eastAsia="zh-CN"/>
              </w:rPr>
              <w:t>猪牛羊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出栏头数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万头(只)</w:t>
            </w:r>
          </w:p>
        </w:tc>
        <w:tc>
          <w:tcPr>
            <w:tcW w:w="1734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206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34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581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猪牛羊禽肉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万吨</w:t>
            </w:r>
          </w:p>
        </w:tc>
        <w:tc>
          <w:tcPr>
            <w:tcW w:w="1734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13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2581" w:type="dxa"/>
            <w:tcBorders>
              <w:top w:val="nil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禽蛋产量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万吨</w:t>
            </w:r>
          </w:p>
        </w:tc>
        <w:tc>
          <w:tcPr>
            <w:tcW w:w="1734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45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2581" w:type="dxa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牛奶产量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万吨</w:t>
            </w:r>
          </w:p>
        </w:tc>
        <w:tc>
          <w:tcPr>
            <w:tcW w:w="1734" w:type="dxa"/>
            <w:tcBorders>
              <w:top w:val="nil"/>
              <w:left w:val="single" w:color="000000" w:sz="6" w:space="0"/>
              <w:bottom w:val="single" w:color="auto" w:sz="12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35</w:t>
            </w:r>
          </w:p>
        </w:tc>
        <w:tc>
          <w:tcPr>
            <w:tcW w:w="1732" w:type="dxa"/>
            <w:tcBorders>
              <w:top w:val="nil"/>
              <w:left w:val="single" w:color="000000" w:sz="6" w:space="0"/>
              <w:bottom w:val="single" w:color="auto" w:sz="12" w:space="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>
            <w:pPr>
              <w:spacing w:line="200" w:lineRule="exact"/>
              <w:ind w:left="-105" w:leftChars="-50" w:right="105" w:rightChars="50"/>
              <w:jc w:val="right"/>
              <w:rPr>
                <w:rFonts w:hint="default" w:ascii="Times New Roman" w:hAnsi="Times New Roman" w:cs="Times New Roman"/>
                <w:color w:val="auto"/>
                <w:sz w:val="15"/>
                <w:szCs w:val="15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</w:tr>
    </w:tbl>
    <w:p>
      <w:pPr>
        <w:snapToGrid w:val="0"/>
        <w:spacing w:line="300" w:lineRule="exact"/>
        <w:jc w:val="left"/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种植业耕、种、收综合机械化率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98.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%。畜禽良种推广覆盖率达到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%，养殖粪污资源化利用率达到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91.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师市各级农业产业化龙头企业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。其中，国家级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，兵团级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家，销售收入过10亿元的有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家。龙头企业带动种植面积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万亩、牲畜饲养量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319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万头、禽类饲养量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1412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万只，带动团场和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连队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已建成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个全国现代农业示范区，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个全国“一村一品”示范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连队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个国家级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种植业“三品一标”基地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，示范面积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万余亩。完成“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品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一标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”（即有机农产品、绿色食品）认证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个，认证面积达到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万亩，完成农产品地理标志认证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</w:rPr>
        <w:t>三、工业与建筑业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全年工业增加值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216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亿元，比上年增长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其中规上工业增加值增长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工业产销率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%。轻、重工业比重分别为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78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。轻工业增长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%，重工业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表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2 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20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年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规上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工业主要产品产量及其增长速度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</w:p>
    <w:tbl>
      <w:tblPr>
        <w:tblStyle w:val="1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4"/>
        <w:gridCol w:w="1214"/>
        <w:gridCol w:w="1311"/>
        <w:gridCol w:w="1237"/>
        <w:gridCol w:w="1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31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2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0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增速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%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原煤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251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活性炭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石墨及碳素制品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商品混凝土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立方米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塑料制品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防水卷材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平方米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285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罐头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纱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棉花加工机械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601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水泥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生铁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钢材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102</w:t>
            </w: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34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饮料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机制纸及纸板（外购原纸加工除外）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原铝（电解铝）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饲料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57</w:t>
            </w: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96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鲜、冷藏肉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焦炭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味精(谷氨酸钠)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吨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424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发电量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亿度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256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260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18"/>
          <w:szCs w:val="1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highlight w:val="none"/>
          <w:lang w:val="en-US" w:eastAsia="zh-CN"/>
        </w:rPr>
        <w:t>图2    201</w:t>
      </w:r>
      <w:r>
        <w:rPr>
          <w:rFonts w:hint="eastAsia" w:ascii="Times New Roman" w:hAnsi="Times New Roman" w:eastAsia="方正仿宋简体" w:cs="Times New Roman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highlight w:val="none"/>
          <w:lang w:val="en-US" w:eastAsia="zh-CN"/>
        </w:rPr>
        <w:t>—202</w:t>
      </w:r>
      <w:r>
        <w:rPr>
          <w:rFonts w:hint="eastAsia" w:ascii="Times New Roman" w:hAnsi="Times New Roman" w:eastAsia="方正仿宋简体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28"/>
          <w:szCs w:val="28"/>
          <w:highlight w:val="none"/>
          <w:lang w:val="en-US" w:eastAsia="zh-CN"/>
        </w:rPr>
        <w:t>年规上工业增加值增长速度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pict>
          <v:shape id="_x0000_i1026" o:spt="75" alt="图片1" type="#_x0000_t75" style="height:297.9pt;width:415pt;" filled="f" o:preferrelative="t" stroked="f" coordsize="21600,21600">
            <v:path/>
            <v:fill on="f" focussize="0,0"/>
            <v:stroke on="f"/>
            <v:imagedata r:id="rId6" o:title="图片1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年末师市有国家级经济开发区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个，兵团级园区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个。全年规模以上工业企业实现利润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99.70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亿元，比上年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减少盈利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17.92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全年实现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资质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建筑业产值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21.95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亿元，比上年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36.6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。建筑业增加值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28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。师市具有资质等级的总承包和专业承包建筑企业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家，实现利润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%。各类建筑施工单位签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订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合同额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45.56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16.7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。全年房屋施工面积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35.23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万平方米，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60.6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</w:rPr>
        <w:t>四、固定资产投资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全年全社会固定资产投资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（不含农户）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比上年增长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10.8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分产业看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，第一产业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投资比上年下降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9.3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%；第二产业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投资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%；第三产业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投资增长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4.6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图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 xml:space="preserve">3  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201</w:t>
      </w:r>
      <w:r>
        <w:rPr>
          <w:rFonts w:hint="eastAsia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—20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年全社会固定资产投资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  <w:lang w:eastAsia="zh-CN"/>
        </w:rPr>
        <w:t>（不含农户）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增长速度</w:t>
      </w:r>
    </w:p>
    <w:p>
      <w:pPr>
        <w:widowControl/>
        <w:spacing w:line="240" w:lineRule="auto"/>
        <w:jc w:val="both"/>
        <w:rPr>
          <w:rFonts w:hint="default" w:ascii="Times New Roman" w:hAnsi="Times New Roman" w:cs="Times New Roman"/>
          <w:color w:val="auto"/>
          <w:sz w:val="18"/>
          <w:szCs w:val="18"/>
          <w:highlight w:val="none"/>
          <w:lang w:val="zh-CN"/>
        </w:rPr>
      </w:pPr>
      <w:r>
        <w:rPr>
          <w:highlight w:val="none"/>
        </w:rPr>
        <w:pict>
          <v:shape id="_x0000_i1027" o:spt="75" type="#_x0000_t75" style="height:279.75pt;width:415.5pt;" filled="f" o:preferrelative="t" stroked="f" coordsize="21600,21600" o:gfxdata="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全年房地产开发投资比上年下降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%。商品房销售面积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万平方米，下降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76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%。其中，住宅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万平方米，下降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79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%。商品房销售额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亿元，下降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%。商品房待售面积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万平方米，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79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表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 xml:space="preserve">3  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20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年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  <w:lang w:eastAsia="zh-CN"/>
        </w:rPr>
        <w:t>分产业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全社会固定资产投资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  <w:lang w:eastAsia="zh-CN"/>
        </w:rPr>
        <w:t>（不含农户）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增长速度</w:t>
      </w:r>
    </w:p>
    <w:tbl>
      <w:tblPr>
        <w:tblStyle w:val="13"/>
        <w:tblW w:w="8139" w:type="dxa"/>
        <w:jc w:val="center"/>
        <w:tblBorders>
          <w:top w:val="single" w:color="000000" w:sz="6" w:space="0"/>
          <w:left w:val="none" w:color="auto" w:sz="0" w:space="0"/>
          <w:bottom w:val="single" w:color="000000" w:sz="6" w:space="0"/>
          <w:right w:val="none" w:color="auto" w:sz="0" w:space="0"/>
          <w:insideH w:val="none" w:color="auto" w:sz="0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5"/>
        <w:gridCol w:w="2634"/>
      </w:tblGrid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5505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180" w:lineRule="exact"/>
              <w:ind w:left="-105" w:leftChars="-50" w:right="-105" w:rightChars="-50" w:firstLine="36" w:firstLineChars="2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指标</w:t>
            </w:r>
          </w:p>
        </w:tc>
        <w:tc>
          <w:tcPr>
            <w:tcW w:w="2634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18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比上年增减（%）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5505" w:type="dxa"/>
            <w:tcBorders>
              <w:top w:val="single" w:color="000000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全社会固定资产投资</w:t>
            </w:r>
          </w:p>
        </w:tc>
        <w:tc>
          <w:tcPr>
            <w:tcW w:w="2634" w:type="dxa"/>
            <w:tcBorders>
              <w:top w:val="single" w:color="000000" w:sz="6" w:space="0"/>
            </w:tcBorders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5505" w:type="dxa"/>
            <w:tcBorders>
              <w:bottom w:val="nil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＃房地产开发投资</w:t>
            </w:r>
          </w:p>
        </w:tc>
        <w:tc>
          <w:tcPr>
            <w:tcW w:w="2634" w:type="dxa"/>
            <w:tcBorders>
              <w:bottom w:val="nil"/>
            </w:tcBorders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41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5505" w:type="dxa"/>
            <w:tcBorders>
              <w:bottom w:val="nil"/>
            </w:tcBorders>
            <w:vAlign w:val="center"/>
          </w:tcPr>
          <w:p>
            <w:pPr>
              <w:spacing w:line="200" w:lineRule="exac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按经济类型分</w:t>
            </w:r>
          </w:p>
        </w:tc>
        <w:tc>
          <w:tcPr>
            <w:tcW w:w="2634" w:type="dxa"/>
            <w:tcBorders>
              <w:bottom w:val="nil"/>
            </w:tcBorders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5505" w:type="dxa"/>
            <w:tcBorders>
              <w:bottom w:val="nil"/>
            </w:tcBorders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＃国有</w:t>
            </w: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及国有控股</w:t>
            </w:r>
          </w:p>
        </w:tc>
        <w:tc>
          <w:tcPr>
            <w:tcW w:w="2634" w:type="dxa"/>
            <w:tcBorders>
              <w:bottom w:val="nil"/>
            </w:tcBorders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110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5505" w:type="dxa"/>
            <w:tcBorders>
              <w:bottom w:val="nil"/>
            </w:tcBorders>
            <w:vAlign w:val="center"/>
          </w:tcPr>
          <w:p>
            <w:pPr>
              <w:spacing w:line="200" w:lineRule="exact"/>
              <w:ind w:firstLine="180" w:firstLineChars="100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民间投资</w:t>
            </w:r>
          </w:p>
        </w:tc>
        <w:tc>
          <w:tcPr>
            <w:tcW w:w="2634" w:type="dxa"/>
            <w:tcBorders>
              <w:bottom w:val="nil"/>
            </w:tcBorders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24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5505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产业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分</w:t>
            </w:r>
          </w:p>
        </w:tc>
        <w:tc>
          <w:tcPr>
            <w:tcW w:w="2634" w:type="dxa"/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5505" w:type="dxa"/>
            <w:vAlign w:val="center"/>
          </w:tcPr>
          <w:p>
            <w:pPr>
              <w:widowControl/>
              <w:spacing w:line="200" w:lineRule="exact"/>
              <w:ind w:firstLine="90" w:firstLineChars="5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＃第一产业</w:t>
            </w:r>
          </w:p>
        </w:tc>
        <w:tc>
          <w:tcPr>
            <w:tcW w:w="2634" w:type="dxa"/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5505" w:type="dxa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firstLine="270" w:firstLineChars="15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第二产业</w:t>
            </w:r>
          </w:p>
        </w:tc>
        <w:tc>
          <w:tcPr>
            <w:tcW w:w="2634" w:type="dxa"/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16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6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550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firstLine="270" w:firstLineChars="15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第三产业</w:t>
            </w:r>
          </w:p>
        </w:tc>
        <w:tc>
          <w:tcPr>
            <w:tcW w:w="2634" w:type="dxa"/>
            <w:tcBorders>
              <w:bottom w:val="single" w:color="auto" w:sz="12" w:space="0"/>
            </w:tcBorders>
            <w:vAlign w:val="center"/>
          </w:tcPr>
          <w:p>
            <w:pPr>
              <w:spacing w:line="200" w:lineRule="exact"/>
              <w:ind w:right="420" w:rightChars="20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4.6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全年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工业投资比上年增长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%。其中，制造业投资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%；电力、燃气及水的生产和供应业投资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411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表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 xml:space="preserve">4 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20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年分行业全社会固定资产投资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eastAsia="zh-CN"/>
        </w:rPr>
        <w:t>（不含农户）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增长速度</w:t>
      </w:r>
    </w:p>
    <w:tbl>
      <w:tblPr>
        <w:tblStyle w:val="13"/>
        <w:tblW w:w="8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7"/>
        <w:gridCol w:w="2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08" w:hRule="exact"/>
          <w:jc w:val="center"/>
        </w:trPr>
        <w:tc>
          <w:tcPr>
            <w:tcW w:w="5647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180" w:lineRule="exact"/>
              <w:ind w:left="-105" w:leftChars="-50" w:right="-105" w:rightChars="-50" w:firstLine="36" w:firstLineChars="2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指标</w:t>
            </w:r>
          </w:p>
        </w:tc>
        <w:tc>
          <w:tcPr>
            <w:tcW w:w="2692" w:type="dxa"/>
            <w:tcBorders>
              <w:top w:val="single" w:color="000000" w:sz="12" w:space="0"/>
              <w:left w:val="single" w:color="000000" w:sz="6" w:space="0"/>
              <w:bottom w:val="single" w:color="000000" w:sz="8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18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比上年增减（%）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47" w:type="dxa"/>
            <w:tcBorders>
              <w:top w:val="single" w:color="000000" w:sz="8" w:space="0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总计</w:t>
            </w:r>
          </w:p>
        </w:tc>
        <w:tc>
          <w:tcPr>
            <w:tcW w:w="2692" w:type="dxa"/>
            <w:tcBorders>
              <w:top w:val="single" w:color="000000" w:sz="8" w:space="0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10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农、林、牧、渔业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采矿业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制造业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50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＃农副食品加工业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食品制造业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52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18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石油加工、炼焦及核燃料加工业</w:t>
            </w:r>
          </w:p>
        </w:tc>
        <w:tc>
          <w:tcPr>
            <w:tcW w:w="269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615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化学原料及化学制品制造业</w:t>
            </w:r>
          </w:p>
        </w:tc>
        <w:tc>
          <w:tcPr>
            <w:tcW w:w="2692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非金属矿物制品业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78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黑色金属冶炼和压延加工业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434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647" w:type="dxa"/>
            <w:tcBorders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ind w:firstLine="180" w:firstLineChars="100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有色金属冶炼及压延加工业</w:t>
            </w:r>
          </w:p>
        </w:tc>
        <w:tc>
          <w:tcPr>
            <w:tcW w:w="2692" w:type="dxa"/>
            <w:tcBorders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电力、热力、燃气及水的生产和供应业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411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建筑业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批发和零售业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00" w:lineRule="exact"/>
              <w:ind w:left="-105" w:leftChars="-50" w:right="210" w:rightChars="10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102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交通运输、仓储和邮政业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00" w:lineRule="exact"/>
              <w:ind w:left="-105" w:leftChars="-50" w:right="210" w:rightChars="10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住宿和餐饮业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393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房地产业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43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水利、环境和公共设施管理业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45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居民服务、修理和其他服务业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教育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22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647" w:type="dxa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卫生和社会工作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28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5647" w:type="dxa"/>
            <w:tcBorders>
              <w:top w:val="nil"/>
              <w:left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文化、体育和娱乐业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5647" w:type="dxa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公共管理、社会保障和社会组织</w:t>
            </w:r>
          </w:p>
        </w:tc>
        <w:tc>
          <w:tcPr>
            <w:tcW w:w="2692" w:type="dxa"/>
            <w:tcBorders>
              <w:top w:val="nil"/>
              <w:left w:val="single" w:color="000000" w:sz="6" w:space="0"/>
              <w:bottom w:val="single" w:color="000000" w:sz="12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exact"/>
              <w:ind w:left="-105" w:leftChars="-50" w:right="210" w:rightChars="100" w:firstLine="270" w:firstLineChars="150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167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Times New Roman" w:hAnsi="Times New Roman" w:eastAsia="方正仿宋简体" w:cs="Times New Roman"/>
          <w:color w:val="auto"/>
          <w:spacing w:val="-4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固定资产投资资金来源总额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126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亿元，其中本年到位资金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亿元。本年资金来源中，国家预算内资金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国内贷款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亿元，自筹资金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88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招商引资项目共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225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个，当年形成实物量10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.1亿元，增长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%。当年新建项目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个，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计划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总投资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155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亿元，增长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pacing w:val="-4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山西省对口支援师市项目共2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个，总投资1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.93亿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元。当年援疆项目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全部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开工，已完工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个，实际完成投资1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.8亿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元。</w:t>
      </w:r>
    </w:p>
    <w:p>
      <w:pPr>
        <w:keepNext w:val="0"/>
        <w:keepLines w:val="0"/>
        <w:pageBreakBefore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五、国内贸易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全年批发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零售业商品销售总额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397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亿元，比上年增长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%。全年社会消费品零售总额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96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亿元，比上年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图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 xml:space="preserve">4  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201</w:t>
      </w:r>
      <w:r>
        <w:rPr>
          <w:rFonts w:hint="eastAsia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—20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年社会消费品零售总额及其增长速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  <w:lang w:eastAsia="zh-CN"/>
        </w:rPr>
        <w:t>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pict>
          <v:shape id="_x0000_i1028" o:spt="75" alt="图片2" type="#_x0000_t75" style="height:244.2pt;width:372.5pt;" filled="f" o:preferrelative="t" stroked="f" coordsize="21600,21600">
            <v:path/>
            <v:fill on="f" focussize="0,0"/>
            <v:stroke on="f"/>
            <v:imagedata r:id="rId8" o:title="图片2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>六、对外经济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全年货物进出口总额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48385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万美元（含出口供货），比上年增长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%。其中，货物出口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47519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.8万美元，增长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%；货物进口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866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万美元，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78</w:t>
      </w:r>
      <w:r>
        <w:rPr>
          <w:rFonts w:hint="eastAsia" w:eastAsia="方正仿宋简体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97</w:t>
      </w:r>
      <w:r>
        <w:rPr>
          <w:rFonts w:hint="eastAsia" w:eastAsia="方正仿宋简体" w:cs="Times New Roman"/>
          <w:sz w:val="32"/>
          <w:szCs w:val="32"/>
          <w:highlight w:val="none"/>
          <w:lang w:val="en-US" w:eastAsia="zh-CN"/>
        </w:rPr>
        <w:t>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七、交通运输和旅游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pacing w:val="-4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年末师市公路总里程4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858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公里。其中一级16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公里、二级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495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公里、三级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570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公里、四级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2088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公里、等外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1539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公里。</w:t>
      </w:r>
      <w:r>
        <w:rPr>
          <w:rFonts w:hint="default" w:ascii="Times New Roman" w:hAnsi="Times New Roman" w:eastAsia="方正仿宋简体" w:cs="Times New Roman"/>
          <w:color w:val="auto"/>
          <w:spacing w:val="-4"/>
          <w:sz w:val="32"/>
          <w:szCs w:val="32"/>
          <w:highlight w:val="none"/>
          <w:lang w:val="en-US" w:eastAsia="zh-CN"/>
        </w:rPr>
        <w:t>新建改扩建公路</w:t>
      </w:r>
      <w:r>
        <w:rPr>
          <w:rFonts w:hint="eastAsia" w:ascii="Times New Roman" w:hAnsi="Times New Roman" w:eastAsia="方正仿宋简体" w:cs="Times New Roman"/>
          <w:color w:val="auto"/>
          <w:spacing w:val="-4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pacing w:val="-4"/>
          <w:sz w:val="32"/>
          <w:szCs w:val="32"/>
          <w:highlight w:val="none"/>
          <w:lang w:val="en-US" w:eastAsia="zh-CN"/>
        </w:rPr>
        <w:t>公里。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师市公交运营市区及通团连班线总计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条，营运车辆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辆，运营线路总长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940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公里，其中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城市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公交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辆，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团场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辆。有出租车辆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592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辆，其中市区出租车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328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辆，团场区域出租车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264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年末师市拥有旅游企业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家。国家等级景区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点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A级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个，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4A级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），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省级旅游度假区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个，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星级农家乐2个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旅游星级饭店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旅行社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旅游集团公司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家。全年旅游直接就业人员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0.3万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间接就业人员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1.4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万人。全年接待游客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285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同比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旅游综合收入1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同比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八、财政、金融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全年上缴各类税费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47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亿元。202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年师市上解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实现全口径财政收入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%。其中，地方财政收入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38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49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%。实现一般公共财政预算收入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%，其中，各项税收收入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%；非税收入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%。实现政府性基金预算收入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上级补助收入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58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17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山西援疆资金收入1.9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全师各项存款金额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348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%。各项贷款余额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.40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九、教育、科学技术和文化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年末有各类学校7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所，在校学生48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919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人，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%，教职工4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905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人，增长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%，其中，专职教师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3968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人，增长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%。毕业生1279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人，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%。普通中小学在校生3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3194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 人，招生8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人，毕业生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7936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，教职工3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372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人，其中专任教师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3075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人。小学适龄儿童入学率100 %，初中适龄人口入学100 %。幼儿园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所，在校生8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624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人，教职工11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人，其中专任教师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631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表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 xml:space="preserve">5  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20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highlight w:val="none"/>
        </w:rPr>
        <w:t>年各类学校基本情况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363" w:firstLine="6240" w:firstLineChars="2600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单位：所、人</w:t>
      </w:r>
    </w:p>
    <w:tbl>
      <w:tblPr>
        <w:tblStyle w:val="13"/>
        <w:tblW w:w="7570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662"/>
        <w:gridCol w:w="889"/>
        <w:gridCol w:w="1255"/>
        <w:gridCol w:w="812"/>
        <w:gridCol w:w="1045"/>
        <w:gridCol w:w="139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510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  <w:t>指标</w:t>
            </w:r>
          </w:p>
        </w:tc>
        <w:tc>
          <w:tcPr>
            <w:tcW w:w="662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  <w:t>学校数</w:t>
            </w:r>
          </w:p>
        </w:tc>
        <w:tc>
          <w:tcPr>
            <w:tcW w:w="889" w:type="dxa"/>
            <w:vMerge w:val="restart"/>
            <w:tcBorders>
              <w:top w:val="single" w:color="auto" w:sz="12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  <w:t>在校</w:t>
            </w:r>
          </w:p>
          <w:p>
            <w:pPr>
              <w:spacing w:line="300" w:lineRule="exact"/>
              <w:ind w:right="-105" w:rightChars="-50" w:firstLine="180" w:firstLineChars="100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  <w:t>生数</w:t>
            </w:r>
          </w:p>
        </w:tc>
        <w:tc>
          <w:tcPr>
            <w:tcW w:w="1255" w:type="dxa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12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  <w:t>教职</w:t>
            </w:r>
          </w:p>
          <w:p>
            <w:pPr>
              <w:spacing w:line="300" w:lineRule="exact"/>
              <w:ind w:right="-105" w:rightChars="-50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  <w:t>工数</w:t>
            </w:r>
          </w:p>
        </w:tc>
        <w:tc>
          <w:tcPr>
            <w:tcW w:w="1045" w:type="dxa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397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left="-50" w:right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  <w:t>毕业生数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1510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 w:firstLine="180" w:firstLineChars="100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2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left="-288" w:leftChars="-137" w:right="-105" w:rightChars="-50" w:firstLine="117" w:firstLineChars="65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  <w:t>#新招生</w:t>
            </w:r>
          </w:p>
        </w:tc>
        <w:tc>
          <w:tcPr>
            <w:tcW w:w="812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left="-15" w:leftChars="-50" w:right="-105" w:rightChars="-50" w:hanging="90" w:hangingChars="50"/>
              <w:jc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  <w:t>#专任教师</w:t>
            </w:r>
          </w:p>
        </w:tc>
        <w:tc>
          <w:tcPr>
            <w:tcW w:w="1397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510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  <w:t>合计</w:t>
            </w:r>
          </w:p>
        </w:tc>
        <w:tc>
          <w:tcPr>
            <w:tcW w:w="662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77</w:t>
            </w:r>
          </w:p>
        </w:tc>
        <w:tc>
          <w:tcPr>
            <w:tcW w:w="889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48919</w:t>
            </w:r>
          </w:p>
        </w:tc>
        <w:tc>
          <w:tcPr>
            <w:tcW w:w="1255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13257</w:t>
            </w:r>
          </w:p>
        </w:tc>
        <w:tc>
          <w:tcPr>
            <w:tcW w:w="812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4905</w:t>
            </w:r>
          </w:p>
        </w:tc>
        <w:tc>
          <w:tcPr>
            <w:tcW w:w="1045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3968</w:t>
            </w:r>
          </w:p>
        </w:tc>
        <w:tc>
          <w:tcPr>
            <w:tcW w:w="1397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12797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  <w:t>普通高等学校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5650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1882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259</w:t>
            </w:r>
          </w:p>
        </w:tc>
        <w:tc>
          <w:tcPr>
            <w:tcW w:w="104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195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1492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  <w:t>中等职业学校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1451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394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112</w:t>
            </w:r>
          </w:p>
        </w:tc>
        <w:tc>
          <w:tcPr>
            <w:tcW w:w="104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67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328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default" w:ascii="Times New Roman" w:hAnsi="Times New Roman" w:cs="Times New Roman"/>
                <w:bCs/>
                <w:color w:val="auto"/>
                <w:spacing w:val="-6"/>
                <w:w w:val="9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  <w:t>普通中学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20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6302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5559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1873</w:t>
            </w:r>
          </w:p>
        </w:tc>
        <w:tc>
          <w:tcPr>
            <w:tcW w:w="104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1676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5283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default" w:ascii="Times New Roman" w:hAnsi="Times New Roman" w:cs="Times New Roman"/>
                <w:bCs/>
                <w:color w:val="auto"/>
                <w:spacing w:val="-6"/>
                <w:w w:val="9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  <w:t>小学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16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892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2626</w:t>
            </w:r>
          </w:p>
        </w:tc>
        <w:tc>
          <w:tcPr>
            <w:tcW w:w="812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1499</w:t>
            </w:r>
          </w:p>
        </w:tc>
        <w:tc>
          <w:tcPr>
            <w:tcW w:w="1045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1399</w:t>
            </w:r>
          </w:p>
        </w:tc>
        <w:tc>
          <w:tcPr>
            <w:tcW w:w="1397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2653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510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18"/>
                <w:szCs w:val="18"/>
                <w:highlight w:val="none"/>
              </w:rPr>
              <w:t>幼儿园</w:t>
            </w:r>
          </w:p>
        </w:tc>
        <w:tc>
          <w:tcPr>
            <w:tcW w:w="66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40</w:t>
            </w:r>
          </w:p>
        </w:tc>
        <w:tc>
          <w:tcPr>
            <w:tcW w:w="889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624</w:t>
            </w:r>
          </w:p>
        </w:tc>
        <w:tc>
          <w:tcPr>
            <w:tcW w:w="1255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2796</w:t>
            </w:r>
          </w:p>
        </w:tc>
        <w:tc>
          <w:tcPr>
            <w:tcW w:w="81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1162</w:t>
            </w:r>
          </w:p>
        </w:tc>
        <w:tc>
          <w:tcPr>
            <w:tcW w:w="1045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631</w:t>
            </w:r>
          </w:p>
        </w:tc>
        <w:tc>
          <w:tcPr>
            <w:tcW w:w="1397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spacing w:line="180" w:lineRule="exact"/>
              <w:ind w:left="-105" w:leftChars="-50"/>
              <w:jc w:val="right"/>
              <w:textAlignment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3041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年末有科学研究与技术开发机构1个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有兵团工程技术研究中心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高新技术企业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家，科技型中小企业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家，兵团创新型企业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家，兵团科技中介服务机构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家，兵团众创空间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家（其中，国家级众创空间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 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家），兵团科技型中小企业孵化器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家（其中，国家级科技型中小企业孵化器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全年有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项科技成果获得兵团科技进步奖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等奖。全年承担各级各类科技项目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项，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获得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各类科技经费总额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872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万元，其中承担实施兵团以上科技计划项目1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项，到位科技经费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1172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万元；师本级科技计划项目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项，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到位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科技经费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00万元。项目年经费投入强度每项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市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获得授权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专利量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271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件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其中发明专利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授权量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年末有广播电视播出机构15座，其中师电视台和广播电台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1座，农牧团场广播电视站13座。广播电视综合覆盖率均达到100%。实施数字电影放映工程，有14个流动电影放映队，全年放映电影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2880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场次。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年末有文化馆1座，影剧院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座，博物馆1座，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eastAsia="zh-CN"/>
        </w:rPr>
        <w:t>图书馆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1座，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建成团场、企业文化中心14个，覆盖率100%；建设连队综合文化活动室210个，实现中心连队全覆盖。师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有文化广场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个。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</w:rPr>
        <w:t>全年组织举办文艺演出、大型展览、文化交流等大型文化活动70余场次，惠及人数达35.6万人次以上。</w:t>
      </w:r>
    </w:p>
    <w:p>
      <w:pPr>
        <w:keepNext w:val="0"/>
        <w:keepLines w:val="0"/>
        <w:pageBreakBefore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十、卫生和社会服务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年末有各类卫生机构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个（含营利性卫生机构），各类卫生技术人员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3963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人。其中，执业和执业（助理）医师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人，注册护士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2076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人。每千人执业（助理）医师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3.6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人，每千人注册护士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人，每千人有医院床位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张。传染病报告发病率(甲乙类传染病)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/10万，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婴儿死亡率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4.01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‰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孕产妇死亡率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师市最低生活保障累计发放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31776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次，下达兵团低保资金预算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2515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 xml:space="preserve">万元，发放低保、补助资金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2829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发放医疗救助资金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361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万元，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万人次得到医疗救助。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br w:type="textWrapping"/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全年国家抚恤、补助各类优抚对象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299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人，接收自主就业退役士兵1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人，复员干部1人，兵团移交安置任务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年末有各类收养性单位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个，床位数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张，在院收养人数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1024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人。</w:t>
      </w:r>
    </w:p>
    <w:p>
      <w:pPr>
        <w:keepNext w:val="0"/>
        <w:keepLines w:val="0"/>
        <w:pageBreakBefore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十一、人民生活与社会保障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根据住户收支与生活状况调查，全年师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城镇常住居民人均可支配收入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46452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元，比上年增长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%；连队常住居民人均可支配收入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27377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年末参加职工基本养老保险人数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20.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人、居民社会养老保险参保人数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人。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加基本医疗保险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28.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人，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中职工基本医疗保险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09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居民基本医疗保险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04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人。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参加失业保险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7.1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人、工伤保险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全年受理劳动保障监察投诉案件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256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件，结案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256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件，结案率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%；处理劳动争议案件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件，其中调解处理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226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件，立案处理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84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件，结案率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%。</w:t>
      </w:r>
    </w:p>
    <w:p>
      <w:pPr>
        <w:keepNext w:val="0"/>
        <w:keepLines w:val="0"/>
        <w:pageBreakBefore w:val="0"/>
        <w:tabs>
          <w:tab w:val="left" w:pos="609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lef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 十二、资源、环境与安全生产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师市拥有土地面积7477平方公里。全年批准建设用地0.3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万亩，供应土地0.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万亩，土地出让合同价2.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全年垦区水资源径流量11.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亿立方米，其中地表水资源5.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亿立方米，地下水资源5.8亿立方米。淡水面积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7.2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千公顷。年末2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座水库总容量2.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亿立方米。全年总用水量中农业灌溉用水10.3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亿立方米，工业、生活及城市绿化用水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0.98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亿立方米。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全年垦区平均气温 7.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 ℃，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比上年高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0.2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 w:eastAsiaTheme="minorEastAsia"/>
          <w:color w:val="000000"/>
          <w:sz w:val="28"/>
          <w:szCs w:val="28"/>
          <w:highlight w:val="none"/>
        </w:rPr>
        <w:t>表</w:t>
      </w:r>
      <w:r>
        <w:rPr>
          <w:rFonts w:hint="default" w:ascii="Times New Roman" w:hAnsi="Times New Roman" w:cs="Times New Roman" w:eastAsiaTheme="minorEastAsia"/>
          <w:color w:val="000000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color w:val="000000"/>
          <w:sz w:val="28"/>
          <w:szCs w:val="28"/>
          <w:highlight w:val="none"/>
        </w:rPr>
        <w:t xml:space="preserve">   </w:t>
      </w:r>
      <w:r>
        <w:rPr>
          <w:rFonts w:hint="default" w:ascii="Times New Roman" w:hAnsi="Times New Roman" w:cs="Times New Roman" w:eastAsiaTheme="minorEastAsia"/>
          <w:color w:val="00000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highlight w:val="none"/>
        </w:rPr>
        <w:t>20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color w:val="000000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color w:val="000000"/>
          <w:kern w:val="0"/>
          <w:sz w:val="28"/>
          <w:szCs w:val="28"/>
          <w:highlight w:val="none"/>
        </w:rPr>
        <w:t>年垦区气候情况</w:t>
      </w:r>
    </w:p>
    <w:tbl>
      <w:tblPr>
        <w:tblStyle w:val="13"/>
        <w:tblW w:w="517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764"/>
        <w:gridCol w:w="1764"/>
        <w:gridCol w:w="1764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</w:tblPrEx>
        <w:trPr>
          <w:trHeight w:val="857" w:hRule="exact"/>
        </w:trPr>
        <w:tc>
          <w:tcPr>
            <w:tcW w:w="997" w:type="pc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  <w:t>地区</w:t>
            </w:r>
          </w:p>
        </w:tc>
        <w:tc>
          <w:tcPr>
            <w:tcW w:w="1000" w:type="pc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 w:firstLine="210" w:firstLineChars="100"/>
              <w:jc w:val="both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  <w:t>平均气温（℃）</w:t>
            </w:r>
          </w:p>
        </w:tc>
        <w:tc>
          <w:tcPr>
            <w:tcW w:w="1000" w:type="pc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  <w:t>降水量（毫米）</w:t>
            </w:r>
          </w:p>
        </w:tc>
        <w:tc>
          <w:tcPr>
            <w:tcW w:w="1000" w:type="pc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  <w:t>无霜天数（天)</w:t>
            </w:r>
          </w:p>
        </w:tc>
        <w:tc>
          <w:tcPr>
            <w:tcW w:w="1000" w:type="pc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  <w:t>日照时间（小时）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97" w:type="pct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  <w:t>芳草湖</w:t>
            </w:r>
          </w:p>
        </w:tc>
        <w:tc>
          <w:tcPr>
            <w:tcW w:w="1000" w:type="pct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000" w:type="pct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13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000" w:type="pct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16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000" w:type="pct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213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97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  <w:t>新湖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67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376</w:t>
            </w:r>
            <w:r>
              <w:rPr>
                <w:rFonts w:hint="eastAsia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997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  <w:t>奇台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196</w:t>
            </w:r>
            <w:r>
              <w:rPr>
                <w:rFonts w:hint="eastAsia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171</w:t>
            </w:r>
          </w:p>
        </w:tc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2376</w:t>
            </w:r>
            <w:r>
              <w:rPr>
                <w:rFonts w:hint="eastAsia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997" w:type="pct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</w:rPr>
              <w:t>五家渠</w:t>
            </w:r>
          </w:p>
        </w:tc>
        <w:tc>
          <w:tcPr>
            <w:tcW w:w="1000" w:type="pct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000" w:type="pct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120</w:t>
            </w:r>
            <w:r>
              <w:rPr>
                <w:rFonts w:hint="eastAsia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000" w:type="pct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208</w:t>
            </w:r>
          </w:p>
        </w:tc>
        <w:tc>
          <w:tcPr>
            <w:tcW w:w="1000" w:type="pct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468</w:t>
            </w:r>
            <w:r>
              <w:rPr>
                <w:rFonts w:hint="eastAsia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</w:tr>
    </w:tbl>
    <w:p>
      <w:pPr>
        <w:snapToGrid w:val="0"/>
        <w:spacing w:line="300" w:lineRule="exact"/>
        <w:jc w:val="both"/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全年规模以上工业企业综合能源消费量1045.16万吨标准煤，比上年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zh-CN"/>
        </w:rPr>
        <w:t>增长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0.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%。原煤消费量1111.92万吨，增长5.6%；焦炭40.90万吨，下降6.7%；天然气11035.98万立方米，增长3.3%；汽油99.72吨，下降4.9%；柴油2248.37吨，下降22.1%；电力277.6亿千瓦小时，下降1.3%。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据国家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生态环境部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初步核定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的202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年环境统计数据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年全师工业企业主要污染物化学需氧量排放量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435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吨，比上年下降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%；氨氮排放量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吨，比上年下降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%；二氧化硫排放量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98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40.92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吨，比上年下降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13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%；氮氧化物排放量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702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4.56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吨，比上年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17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zh-CN"/>
        </w:rPr>
        <w:t>全年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共发生交通事故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3229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起，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下降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死亡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人，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经济损失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128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万元，增长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eastAsia="方正仿宋简体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发生火灾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  <w:t>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全年师市工矿商贸企业共发生职工生产安全死亡事故0起，生产安全事故死亡人数0人。煤矿百万吨死亡人数为0人。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  <w:t>注释：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  <w:t>〔</w:t>
      </w:r>
      <w:r>
        <w:rPr>
          <w:rFonts w:hint="default" w:ascii="Times New Roman" w:hAnsi="Times New Roman" w:eastAsia="方正楷体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  <w:t>〕本公报中数据均为初步统计数或评估数，最终数据以《</w:t>
      </w:r>
      <w:r>
        <w:rPr>
          <w:rFonts w:hint="default" w:ascii="Times New Roman" w:hAnsi="Times New Roman" w:eastAsia="方正楷体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2023</w:t>
      </w:r>
      <w:r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  <w:t>第六师五家渠市统计年鉴》为准。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  <w:t>〔</w:t>
      </w:r>
      <w:r>
        <w:rPr>
          <w:rFonts w:hint="default" w:ascii="Times New Roman" w:hAnsi="Times New Roman" w:eastAsia="方正楷体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  <w:t>〕生产总值、各产业增加值和人均生产总值绝对数按现价计算，增长速度按</w:t>
      </w:r>
      <w:r>
        <w:rPr>
          <w:rFonts w:hint="default" w:ascii="Times New Roman" w:hAnsi="Times New Roman" w:eastAsia="方正楷体简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2020</w:t>
      </w:r>
      <w:r>
        <w:rPr>
          <w:rFonts w:hint="default" w:ascii="方正楷体简体" w:hAnsi="方正楷体简体" w:eastAsia="方正楷体简体" w:cs="方正楷体简体"/>
          <w:color w:val="auto"/>
          <w:kern w:val="2"/>
          <w:sz w:val="32"/>
          <w:szCs w:val="32"/>
          <w:highlight w:val="none"/>
          <w:lang w:val="en-US" w:eastAsia="zh-CN" w:bidi="ar-SA"/>
        </w:rPr>
        <w:t>年可比价格计算。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  <w:t>资料来源：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  <w:t>本公报中国有控股农工建交商企业实现利润、全年上缴各类税费数据来自财政局；养老保险、医疗保险、失业保险、工伤保险、劳动保障监察数据来自人力资源和社会保障局；农作物精量播种面积、测土配方施肥面积、农业机械化水平、良种推广、龙头企业、“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val="en-US" w:eastAsia="zh-CN"/>
        </w:rPr>
        <w:t>两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  <w:t>品一标”、农业示范区数据来自农业农村局；水资源、有效灌溉面积、节水面积来自水利局；经济技术开发区数据来自开发区管委会；公路通达里程数据来自交通运输局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  <w:t>驻师银行机构对六师金融存贷款数据来自人民银行五家渠支行；货物进出口、招商引资数据来自商务局；广播、电视、文化活动旅游方面数据来自文化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val="en-US" w:eastAsia="zh-CN"/>
        </w:rPr>
        <w:t>体育广电和旅游局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  <w:t>；学校、在校生、教职工、毕业生、入学率数据来自教育局；科学研究机构、科技经费、科技项目来自科技局；专利数据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eastAsia="zh-CN"/>
        </w:rPr>
        <w:t>来自市场监督管理局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  <w:t>；卫生机构、卫生技术人员、医院床位、传染发病率、孕产妇死亡率数据来自卫健委；收养单位、低保补助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val="en-US" w:eastAsia="zh-CN"/>
        </w:rPr>
        <w:t>数据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  <w:t>来自民政局；医疗救助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val="en-US" w:eastAsia="zh-CN"/>
        </w:rPr>
        <w:t>数据来自医疗保障局；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</w:rPr>
        <w:t>优抚数据来自退役军人事务管理局；建设用地、供应地、土地出让数据来自自然资源和规划局；工矿商贸企业死亡人数、安全生产数据来自应急管理局；污染物排放数据来自生态环境局</w:t>
      </w:r>
      <w:r>
        <w:rPr>
          <w:rFonts w:hint="eastAsia" w:ascii="方正楷体简体" w:hAnsi="方正楷体简体" w:eastAsia="方正楷体简体" w:cs="方正楷体简体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</w:p>
    <w:p>
      <w:pPr>
        <w:snapToGrid w:val="0"/>
        <w:spacing w:line="300" w:lineRule="exact"/>
        <w:rPr>
          <w:rFonts w:hint="default" w:ascii="Times New Roman" w:hAnsi="Times New Roman" w:cs="Times New Roman"/>
          <w:color w:val="auto"/>
          <w:sz w:val="18"/>
          <w:szCs w:val="1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文鼎CS大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k2MWY4ZDNjNGU3NTM2NTUxMGM1NGEzMjM5NTg4MzEifQ=="/>
  </w:docVars>
  <w:rsids>
    <w:rsidRoot w:val="00000000"/>
    <w:rsid w:val="0051496F"/>
    <w:rsid w:val="00767F6F"/>
    <w:rsid w:val="00922F45"/>
    <w:rsid w:val="01311D17"/>
    <w:rsid w:val="016D2E09"/>
    <w:rsid w:val="018B5F3E"/>
    <w:rsid w:val="019717F1"/>
    <w:rsid w:val="01C55786"/>
    <w:rsid w:val="01CB3514"/>
    <w:rsid w:val="01CC361A"/>
    <w:rsid w:val="01D00C20"/>
    <w:rsid w:val="02446613"/>
    <w:rsid w:val="02C31095"/>
    <w:rsid w:val="042F4E79"/>
    <w:rsid w:val="0473341B"/>
    <w:rsid w:val="04AD3DAA"/>
    <w:rsid w:val="04F12579"/>
    <w:rsid w:val="05407CAB"/>
    <w:rsid w:val="05D6040B"/>
    <w:rsid w:val="05F561E8"/>
    <w:rsid w:val="06231509"/>
    <w:rsid w:val="066D42EF"/>
    <w:rsid w:val="06723E3F"/>
    <w:rsid w:val="06C83B4C"/>
    <w:rsid w:val="06DB643E"/>
    <w:rsid w:val="073A36C4"/>
    <w:rsid w:val="07BE5A40"/>
    <w:rsid w:val="07C814EE"/>
    <w:rsid w:val="07EF1B83"/>
    <w:rsid w:val="08232E32"/>
    <w:rsid w:val="083251DB"/>
    <w:rsid w:val="08502EA8"/>
    <w:rsid w:val="085C097A"/>
    <w:rsid w:val="08885482"/>
    <w:rsid w:val="08B65C4C"/>
    <w:rsid w:val="08EC176A"/>
    <w:rsid w:val="09412A61"/>
    <w:rsid w:val="09561AFE"/>
    <w:rsid w:val="0972111F"/>
    <w:rsid w:val="098641CB"/>
    <w:rsid w:val="09EB0AE2"/>
    <w:rsid w:val="0A493CB1"/>
    <w:rsid w:val="0A5E0FA3"/>
    <w:rsid w:val="0C08590D"/>
    <w:rsid w:val="0C235571"/>
    <w:rsid w:val="0C292022"/>
    <w:rsid w:val="0C48260B"/>
    <w:rsid w:val="0C50077B"/>
    <w:rsid w:val="0C794EB2"/>
    <w:rsid w:val="0CE06855"/>
    <w:rsid w:val="0DAC78C2"/>
    <w:rsid w:val="0EA02E57"/>
    <w:rsid w:val="0EA428F1"/>
    <w:rsid w:val="0EBA5CFC"/>
    <w:rsid w:val="0EF2559E"/>
    <w:rsid w:val="0F465736"/>
    <w:rsid w:val="0FA34FC7"/>
    <w:rsid w:val="0FA77E2D"/>
    <w:rsid w:val="0FC63F72"/>
    <w:rsid w:val="0FF40C1F"/>
    <w:rsid w:val="10134CDE"/>
    <w:rsid w:val="101833B4"/>
    <w:rsid w:val="10DB7B52"/>
    <w:rsid w:val="111B02EE"/>
    <w:rsid w:val="119A3B19"/>
    <w:rsid w:val="11A34988"/>
    <w:rsid w:val="11A97C74"/>
    <w:rsid w:val="11DB1D44"/>
    <w:rsid w:val="124759AF"/>
    <w:rsid w:val="1330447D"/>
    <w:rsid w:val="133A461A"/>
    <w:rsid w:val="134C0C32"/>
    <w:rsid w:val="13545D39"/>
    <w:rsid w:val="13634D82"/>
    <w:rsid w:val="13B221CF"/>
    <w:rsid w:val="13C17B34"/>
    <w:rsid w:val="13EB21F9"/>
    <w:rsid w:val="147559D0"/>
    <w:rsid w:val="149236FB"/>
    <w:rsid w:val="14A11F62"/>
    <w:rsid w:val="14B940A6"/>
    <w:rsid w:val="14C8512E"/>
    <w:rsid w:val="14D17CF9"/>
    <w:rsid w:val="15484967"/>
    <w:rsid w:val="15791A87"/>
    <w:rsid w:val="15D97C62"/>
    <w:rsid w:val="15E03437"/>
    <w:rsid w:val="16DE0BA0"/>
    <w:rsid w:val="172F68A1"/>
    <w:rsid w:val="177724F9"/>
    <w:rsid w:val="17906055"/>
    <w:rsid w:val="17A37ABC"/>
    <w:rsid w:val="17D67FA1"/>
    <w:rsid w:val="17E4768B"/>
    <w:rsid w:val="181A12FF"/>
    <w:rsid w:val="183A374F"/>
    <w:rsid w:val="185145F5"/>
    <w:rsid w:val="18992641"/>
    <w:rsid w:val="18FF26DA"/>
    <w:rsid w:val="190057A1"/>
    <w:rsid w:val="191E16DE"/>
    <w:rsid w:val="192341E3"/>
    <w:rsid w:val="19763FF2"/>
    <w:rsid w:val="19833DAE"/>
    <w:rsid w:val="1B0E56AB"/>
    <w:rsid w:val="1B217196"/>
    <w:rsid w:val="1B3426D8"/>
    <w:rsid w:val="1B434178"/>
    <w:rsid w:val="1BC01824"/>
    <w:rsid w:val="1C3D736A"/>
    <w:rsid w:val="1C494EFB"/>
    <w:rsid w:val="1C672454"/>
    <w:rsid w:val="1C765F0E"/>
    <w:rsid w:val="1C791C8B"/>
    <w:rsid w:val="1C9B3621"/>
    <w:rsid w:val="1D0C151E"/>
    <w:rsid w:val="1D643ABA"/>
    <w:rsid w:val="1D77142B"/>
    <w:rsid w:val="1D820E4A"/>
    <w:rsid w:val="1D952CE0"/>
    <w:rsid w:val="1D9E652E"/>
    <w:rsid w:val="1DC60D28"/>
    <w:rsid w:val="1DD90774"/>
    <w:rsid w:val="1DD95931"/>
    <w:rsid w:val="1DEA6B7C"/>
    <w:rsid w:val="1DEB1048"/>
    <w:rsid w:val="1E0345E3"/>
    <w:rsid w:val="1E0C3498"/>
    <w:rsid w:val="1E7679C4"/>
    <w:rsid w:val="1EC0376A"/>
    <w:rsid w:val="1ED234B2"/>
    <w:rsid w:val="1EFF4DAB"/>
    <w:rsid w:val="1F0750BD"/>
    <w:rsid w:val="1F2E7CAC"/>
    <w:rsid w:val="1F386500"/>
    <w:rsid w:val="1F577E9F"/>
    <w:rsid w:val="1FC56DA0"/>
    <w:rsid w:val="20126D60"/>
    <w:rsid w:val="203529E8"/>
    <w:rsid w:val="20713A86"/>
    <w:rsid w:val="20D858B3"/>
    <w:rsid w:val="20F17AE5"/>
    <w:rsid w:val="20F36B91"/>
    <w:rsid w:val="21B53855"/>
    <w:rsid w:val="21CE0552"/>
    <w:rsid w:val="21F229A5"/>
    <w:rsid w:val="220D0F7D"/>
    <w:rsid w:val="221036F2"/>
    <w:rsid w:val="22205764"/>
    <w:rsid w:val="22550762"/>
    <w:rsid w:val="22A16535"/>
    <w:rsid w:val="22DD71E3"/>
    <w:rsid w:val="22DF5E7F"/>
    <w:rsid w:val="22FB1D2D"/>
    <w:rsid w:val="2309444A"/>
    <w:rsid w:val="231D6AB0"/>
    <w:rsid w:val="237C4C1C"/>
    <w:rsid w:val="239E27E8"/>
    <w:rsid w:val="23B54511"/>
    <w:rsid w:val="23B85318"/>
    <w:rsid w:val="23BE2382"/>
    <w:rsid w:val="23CB7951"/>
    <w:rsid w:val="23D017DF"/>
    <w:rsid w:val="23E12CD1"/>
    <w:rsid w:val="23ED78C8"/>
    <w:rsid w:val="23FE3883"/>
    <w:rsid w:val="243510D4"/>
    <w:rsid w:val="2473625F"/>
    <w:rsid w:val="247B4ED4"/>
    <w:rsid w:val="2482765C"/>
    <w:rsid w:val="24F31934"/>
    <w:rsid w:val="25014375"/>
    <w:rsid w:val="25295E1A"/>
    <w:rsid w:val="25484023"/>
    <w:rsid w:val="257D3FC3"/>
    <w:rsid w:val="25AE6518"/>
    <w:rsid w:val="25B328A6"/>
    <w:rsid w:val="25F5685D"/>
    <w:rsid w:val="261455E0"/>
    <w:rsid w:val="263537A8"/>
    <w:rsid w:val="264E4B51"/>
    <w:rsid w:val="268418C0"/>
    <w:rsid w:val="269909FA"/>
    <w:rsid w:val="26B32236"/>
    <w:rsid w:val="26DA4680"/>
    <w:rsid w:val="26E13FA4"/>
    <w:rsid w:val="27515196"/>
    <w:rsid w:val="276854B7"/>
    <w:rsid w:val="277E4B5A"/>
    <w:rsid w:val="27D4739A"/>
    <w:rsid w:val="27E3389B"/>
    <w:rsid w:val="28043432"/>
    <w:rsid w:val="280D7188"/>
    <w:rsid w:val="284B72B3"/>
    <w:rsid w:val="28506677"/>
    <w:rsid w:val="286267B5"/>
    <w:rsid w:val="287D6A55"/>
    <w:rsid w:val="28902E1F"/>
    <w:rsid w:val="2926213D"/>
    <w:rsid w:val="29405563"/>
    <w:rsid w:val="294142BC"/>
    <w:rsid w:val="294C4684"/>
    <w:rsid w:val="295E35C2"/>
    <w:rsid w:val="29C550ED"/>
    <w:rsid w:val="29D66067"/>
    <w:rsid w:val="29F00659"/>
    <w:rsid w:val="29F47933"/>
    <w:rsid w:val="2A133E00"/>
    <w:rsid w:val="2A1831C5"/>
    <w:rsid w:val="2A492046"/>
    <w:rsid w:val="2A992557"/>
    <w:rsid w:val="2AA956D8"/>
    <w:rsid w:val="2AC33130"/>
    <w:rsid w:val="2AD513B3"/>
    <w:rsid w:val="2ADF5D46"/>
    <w:rsid w:val="2AFA0B1C"/>
    <w:rsid w:val="2B836396"/>
    <w:rsid w:val="2BF33EE9"/>
    <w:rsid w:val="2C1A4CB2"/>
    <w:rsid w:val="2C1E4EAC"/>
    <w:rsid w:val="2CC413E2"/>
    <w:rsid w:val="2CF15A05"/>
    <w:rsid w:val="2CF16D8F"/>
    <w:rsid w:val="2D031F0A"/>
    <w:rsid w:val="2D26209C"/>
    <w:rsid w:val="2D313729"/>
    <w:rsid w:val="2D4C1412"/>
    <w:rsid w:val="2D512C80"/>
    <w:rsid w:val="2DB9081B"/>
    <w:rsid w:val="2EB07B17"/>
    <w:rsid w:val="2F081A5A"/>
    <w:rsid w:val="2F4131BE"/>
    <w:rsid w:val="2FB53DEC"/>
    <w:rsid w:val="2FB83480"/>
    <w:rsid w:val="302A5A00"/>
    <w:rsid w:val="30831360"/>
    <w:rsid w:val="312C6405"/>
    <w:rsid w:val="314277C9"/>
    <w:rsid w:val="318B13EE"/>
    <w:rsid w:val="31BC6A56"/>
    <w:rsid w:val="31EF720E"/>
    <w:rsid w:val="320E7D68"/>
    <w:rsid w:val="32C71C2C"/>
    <w:rsid w:val="3321133C"/>
    <w:rsid w:val="336E20A7"/>
    <w:rsid w:val="338A6EAD"/>
    <w:rsid w:val="33D22636"/>
    <w:rsid w:val="341412B8"/>
    <w:rsid w:val="343C3F54"/>
    <w:rsid w:val="345D63A4"/>
    <w:rsid w:val="349513E1"/>
    <w:rsid w:val="35DD0CAB"/>
    <w:rsid w:val="36186C1D"/>
    <w:rsid w:val="36407D2B"/>
    <w:rsid w:val="36605E98"/>
    <w:rsid w:val="369E2CF9"/>
    <w:rsid w:val="36C51539"/>
    <w:rsid w:val="36FF0C70"/>
    <w:rsid w:val="3768578B"/>
    <w:rsid w:val="37AC1AEB"/>
    <w:rsid w:val="38961A0D"/>
    <w:rsid w:val="38DB3AAD"/>
    <w:rsid w:val="3902466F"/>
    <w:rsid w:val="395C37E0"/>
    <w:rsid w:val="399610B8"/>
    <w:rsid w:val="39C52CAB"/>
    <w:rsid w:val="3A075A30"/>
    <w:rsid w:val="3A5F41C7"/>
    <w:rsid w:val="3A6A67D9"/>
    <w:rsid w:val="3B9D07B4"/>
    <w:rsid w:val="3BB6027D"/>
    <w:rsid w:val="3BFC46F4"/>
    <w:rsid w:val="3C1852A6"/>
    <w:rsid w:val="3C4043B9"/>
    <w:rsid w:val="3C416D51"/>
    <w:rsid w:val="3CB24D77"/>
    <w:rsid w:val="3CB37FEC"/>
    <w:rsid w:val="3CDB7FF7"/>
    <w:rsid w:val="3CF62431"/>
    <w:rsid w:val="3D043EBB"/>
    <w:rsid w:val="3D29267F"/>
    <w:rsid w:val="3D2A34E3"/>
    <w:rsid w:val="3D493B7F"/>
    <w:rsid w:val="3DF913C9"/>
    <w:rsid w:val="3E222D0E"/>
    <w:rsid w:val="3E277C9E"/>
    <w:rsid w:val="3E4626B9"/>
    <w:rsid w:val="3E466C7A"/>
    <w:rsid w:val="3E4A2633"/>
    <w:rsid w:val="3E507D4A"/>
    <w:rsid w:val="3E6C2C1D"/>
    <w:rsid w:val="3EAC795B"/>
    <w:rsid w:val="3EBD5B3C"/>
    <w:rsid w:val="3EC7320B"/>
    <w:rsid w:val="3EC97E6D"/>
    <w:rsid w:val="3F2502EE"/>
    <w:rsid w:val="3F2C3542"/>
    <w:rsid w:val="3F952DA4"/>
    <w:rsid w:val="3FD91831"/>
    <w:rsid w:val="3FF51ECC"/>
    <w:rsid w:val="40300E10"/>
    <w:rsid w:val="406B3BF6"/>
    <w:rsid w:val="40B56D43"/>
    <w:rsid w:val="413466DE"/>
    <w:rsid w:val="417B7010"/>
    <w:rsid w:val="418401B2"/>
    <w:rsid w:val="41897FA9"/>
    <w:rsid w:val="41A040DF"/>
    <w:rsid w:val="41B00CAF"/>
    <w:rsid w:val="42255FAE"/>
    <w:rsid w:val="42415908"/>
    <w:rsid w:val="42CA312F"/>
    <w:rsid w:val="42DB5DC7"/>
    <w:rsid w:val="43324E9F"/>
    <w:rsid w:val="437F1582"/>
    <w:rsid w:val="43873B5A"/>
    <w:rsid w:val="43B4760E"/>
    <w:rsid w:val="43C73BDB"/>
    <w:rsid w:val="43DA3F0C"/>
    <w:rsid w:val="43E1133C"/>
    <w:rsid w:val="44661ADD"/>
    <w:rsid w:val="44797D33"/>
    <w:rsid w:val="44B00772"/>
    <w:rsid w:val="44B26561"/>
    <w:rsid w:val="44E61F71"/>
    <w:rsid w:val="45D472F0"/>
    <w:rsid w:val="460F2D06"/>
    <w:rsid w:val="46195641"/>
    <w:rsid w:val="4630240B"/>
    <w:rsid w:val="4631143E"/>
    <w:rsid w:val="4636236A"/>
    <w:rsid w:val="468C78D8"/>
    <w:rsid w:val="46C14481"/>
    <w:rsid w:val="46C44060"/>
    <w:rsid w:val="47431BC9"/>
    <w:rsid w:val="474E0F7E"/>
    <w:rsid w:val="47743CD8"/>
    <w:rsid w:val="47767A51"/>
    <w:rsid w:val="47A83982"/>
    <w:rsid w:val="482A0828"/>
    <w:rsid w:val="4961203A"/>
    <w:rsid w:val="49B125A8"/>
    <w:rsid w:val="49C32CF5"/>
    <w:rsid w:val="4AAA3001"/>
    <w:rsid w:val="4ACC1883"/>
    <w:rsid w:val="4AF16656"/>
    <w:rsid w:val="4AFA3701"/>
    <w:rsid w:val="4B9847F3"/>
    <w:rsid w:val="4BAF3531"/>
    <w:rsid w:val="4BBC058C"/>
    <w:rsid w:val="4C0D2006"/>
    <w:rsid w:val="4C464604"/>
    <w:rsid w:val="4C5C1285"/>
    <w:rsid w:val="4C63538E"/>
    <w:rsid w:val="4D4E60EA"/>
    <w:rsid w:val="4D7F1AF0"/>
    <w:rsid w:val="4DB3355F"/>
    <w:rsid w:val="4DC11F7A"/>
    <w:rsid w:val="4DF349AE"/>
    <w:rsid w:val="4DF77F5A"/>
    <w:rsid w:val="4E1F1B39"/>
    <w:rsid w:val="4E2D1C47"/>
    <w:rsid w:val="4EC55F71"/>
    <w:rsid w:val="4F2464A4"/>
    <w:rsid w:val="4FA904DC"/>
    <w:rsid w:val="4FCE41A2"/>
    <w:rsid w:val="4FCF6FF9"/>
    <w:rsid w:val="50362CDE"/>
    <w:rsid w:val="50383DE5"/>
    <w:rsid w:val="506143EC"/>
    <w:rsid w:val="50FD5237"/>
    <w:rsid w:val="51497F84"/>
    <w:rsid w:val="515F6514"/>
    <w:rsid w:val="51D355B3"/>
    <w:rsid w:val="52036385"/>
    <w:rsid w:val="52293911"/>
    <w:rsid w:val="522D344A"/>
    <w:rsid w:val="522D51B0"/>
    <w:rsid w:val="52D51370"/>
    <w:rsid w:val="52F53312"/>
    <w:rsid w:val="530F6FAB"/>
    <w:rsid w:val="531E66B1"/>
    <w:rsid w:val="53206AC2"/>
    <w:rsid w:val="53591FD4"/>
    <w:rsid w:val="538A2F5B"/>
    <w:rsid w:val="538C094E"/>
    <w:rsid w:val="53C146CE"/>
    <w:rsid w:val="53DF1917"/>
    <w:rsid w:val="543F520E"/>
    <w:rsid w:val="546A5A70"/>
    <w:rsid w:val="547C241E"/>
    <w:rsid w:val="549C661D"/>
    <w:rsid w:val="54E55E41"/>
    <w:rsid w:val="54E64F30"/>
    <w:rsid w:val="54ED50CA"/>
    <w:rsid w:val="553F1336"/>
    <w:rsid w:val="5540344C"/>
    <w:rsid w:val="55563F10"/>
    <w:rsid w:val="555C6D88"/>
    <w:rsid w:val="555F5D4F"/>
    <w:rsid w:val="556C7B7F"/>
    <w:rsid w:val="55BD1336"/>
    <w:rsid w:val="560B1134"/>
    <w:rsid w:val="56844DBC"/>
    <w:rsid w:val="56B440F1"/>
    <w:rsid w:val="56BE3BA1"/>
    <w:rsid w:val="56BF09B5"/>
    <w:rsid w:val="56C72338"/>
    <w:rsid w:val="56CE526D"/>
    <w:rsid w:val="56D54EB3"/>
    <w:rsid w:val="56DA342C"/>
    <w:rsid w:val="570C7E1D"/>
    <w:rsid w:val="57174209"/>
    <w:rsid w:val="57250AE2"/>
    <w:rsid w:val="57DB207E"/>
    <w:rsid w:val="57EA47CE"/>
    <w:rsid w:val="57F25A8D"/>
    <w:rsid w:val="582708F3"/>
    <w:rsid w:val="58587B8F"/>
    <w:rsid w:val="58770A30"/>
    <w:rsid w:val="589B68B1"/>
    <w:rsid w:val="58BF6D7E"/>
    <w:rsid w:val="58CA5CB5"/>
    <w:rsid w:val="58E85DEF"/>
    <w:rsid w:val="59181325"/>
    <w:rsid w:val="59312117"/>
    <w:rsid w:val="59394B80"/>
    <w:rsid w:val="596F283F"/>
    <w:rsid w:val="59745E68"/>
    <w:rsid w:val="597E4CEF"/>
    <w:rsid w:val="5A1804F3"/>
    <w:rsid w:val="5A927210"/>
    <w:rsid w:val="5ACC7530"/>
    <w:rsid w:val="5B341C04"/>
    <w:rsid w:val="5B5A2D8E"/>
    <w:rsid w:val="5BD4064F"/>
    <w:rsid w:val="5BE74621"/>
    <w:rsid w:val="5C321615"/>
    <w:rsid w:val="5C3D6937"/>
    <w:rsid w:val="5C810F10"/>
    <w:rsid w:val="5C84698C"/>
    <w:rsid w:val="5CA210BB"/>
    <w:rsid w:val="5D0A38F7"/>
    <w:rsid w:val="5D4930C1"/>
    <w:rsid w:val="5D4F6922"/>
    <w:rsid w:val="5D594D1D"/>
    <w:rsid w:val="5D8473A9"/>
    <w:rsid w:val="5D8B2DB3"/>
    <w:rsid w:val="5DF117C9"/>
    <w:rsid w:val="5E1355B7"/>
    <w:rsid w:val="5E3F2609"/>
    <w:rsid w:val="5E684992"/>
    <w:rsid w:val="5EF52478"/>
    <w:rsid w:val="5EFF1C82"/>
    <w:rsid w:val="5F0E6369"/>
    <w:rsid w:val="5F1640C3"/>
    <w:rsid w:val="5F3C4C84"/>
    <w:rsid w:val="5F865146"/>
    <w:rsid w:val="5F9E76ED"/>
    <w:rsid w:val="5FBD63DA"/>
    <w:rsid w:val="5FE50461"/>
    <w:rsid w:val="602045A6"/>
    <w:rsid w:val="602816AC"/>
    <w:rsid w:val="602D0A71"/>
    <w:rsid w:val="60D8781B"/>
    <w:rsid w:val="613377F6"/>
    <w:rsid w:val="618C5EE9"/>
    <w:rsid w:val="61DD693B"/>
    <w:rsid w:val="620178CE"/>
    <w:rsid w:val="621B2306"/>
    <w:rsid w:val="62594F5F"/>
    <w:rsid w:val="62D05637"/>
    <w:rsid w:val="62D47FF6"/>
    <w:rsid w:val="631C239B"/>
    <w:rsid w:val="6327704E"/>
    <w:rsid w:val="63663949"/>
    <w:rsid w:val="636D5106"/>
    <w:rsid w:val="638701CE"/>
    <w:rsid w:val="64061584"/>
    <w:rsid w:val="640A40D9"/>
    <w:rsid w:val="64CE4061"/>
    <w:rsid w:val="64D91F61"/>
    <w:rsid w:val="651E023A"/>
    <w:rsid w:val="6550751A"/>
    <w:rsid w:val="657809E0"/>
    <w:rsid w:val="65973989"/>
    <w:rsid w:val="65A673D9"/>
    <w:rsid w:val="65A7180E"/>
    <w:rsid w:val="65BC6B1F"/>
    <w:rsid w:val="65CD5EB4"/>
    <w:rsid w:val="65E322FD"/>
    <w:rsid w:val="663473FA"/>
    <w:rsid w:val="66984B5A"/>
    <w:rsid w:val="66D32199"/>
    <w:rsid w:val="66DB6546"/>
    <w:rsid w:val="67474FD7"/>
    <w:rsid w:val="674F5770"/>
    <w:rsid w:val="67A15FA8"/>
    <w:rsid w:val="67BC0C6C"/>
    <w:rsid w:val="67D739FB"/>
    <w:rsid w:val="683A6906"/>
    <w:rsid w:val="683C2647"/>
    <w:rsid w:val="68665546"/>
    <w:rsid w:val="68EE3AB9"/>
    <w:rsid w:val="693469CC"/>
    <w:rsid w:val="69A14C24"/>
    <w:rsid w:val="69BD2191"/>
    <w:rsid w:val="69C26788"/>
    <w:rsid w:val="6A1A4475"/>
    <w:rsid w:val="6A354E42"/>
    <w:rsid w:val="6A9C22A1"/>
    <w:rsid w:val="6AC621DA"/>
    <w:rsid w:val="6ACB15B2"/>
    <w:rsid w:val="6B242793"/>
    <w:rsid w:val="6B2C1649"/>
    <w:rsid w:val="6B3210D8"/>
    <w:rsid w:val="6B49324E"/>
    <w:rsid w:val="6B7E03D2"/>
    <w:rsid w:val="6B9E0A74"/>
    <w:rsid w:val="6BB40154"/>
    <w:rsid w:val="6BF43252"/>
    <w:rsid w:val="6C027425"/>
    <w:rsid w:val="6C3E3522"/>
    <w:rsid w:val="6CC31830"/>
    <w:rsid w:val="6CEE3336"/>
    <w:rsid w:val="6CF03552"/>
    <w:rsid w:val="6D3C0734"/>
    <w:rsid w:val="6D51581F"/>
    <w:rsid w:val="6DB92513"/>
    <w:rsid w:val="6DDC54AC"/>
    <w:rsid w:val="6E201D51"/>
    <w:rsid w:val="6E2A65EF"/>
    <w:rsid w:val="6E6F707A"/>
    <w:rsid w:val="6E702100"/>
    <w:rsid w:val="6E757FD0"/>
    <w:rsid w:val="6EAE33DB"/>
    <w:rsid w:val="6ED4602B"/>
    <w:rsid w:val="6F0D3D67"/>
    <w:rsid w:val="6F6873CF"/>
    <w:rsid w:val="6F932E23"/>
    <w:rsid w:val="6F9D030D"/>
    <w:rsid w:val="6FC33FD3"/>
    <w:rsid w:val="70041B6B"/>
    <w:rsid w:val="706978A3"/>
    <w:rsid w:val="70934FDF"/>
    <w:rsid w:val="70B50130"/>
    <w:rsid w:val="70B76860"/>
    <w:rsid w:val="70B85184"/>
    <w:rsid w:val="70BC4AA0"/>
    <w:rsid w:val="70C33821"/>
    <w:rsid w:val="70CA3E8B"/>
    <w:rsid w:val="710313B3"/>
    <w:rsid w:val="715E0A8A"/>
    <w:rsid w:val="717402AD"/>
    <w:rsid w:val="71BE6BE8"/>
    <w:rsid w:val="71DA2F4B"/>
    <w:rsid w:val="720D24B0"/>
    <w:rsid w:val="72123AB2"/>
    <w:rsid w:val="723A1459"/>
    <w:rsid w:val="724C1F1C"/>
    <w:rsid w:val="725D6034"/>
    <w:rsid w:val="72677E12"/>
    <w:rsid w:val="72C74D55"/>
    <w:rsid w:val="72F35B4A"/>
    <w:rsid w:val="73561F7D"/>
    <w:rsid w:val="73CC3A6E"/>
    <w:rsid w:val="73ED4790"/>
    <w:rsid w:val="73EE624F"/>
    <w:rsid w:val="748503A6"/>
    <w:rsid w:val="754D01DA"/>
    <w:rsid w:val="7569614A"/>
    <w:rsid w:val="757247BE"/>
    <w:rsid w:val="75E8126A"/>
    <w:rsid w:val="764B6E83"/>
    <w:rsid w:val="76650B0D"/>
    <w:rsid w:val="768A2321"/>
    <w:rsid w:val="768C4B5E"/>
    <w:rsid w:val="768C6099"/>
    <w:rsid w:val="76977667"/>
    <w:rsid w:val="76E40345"/>
    <w:rsid w:val="76E97B76"/>
    <w:rsid w:val="77AB69F3"/>
    <w:rsid w:val="77AD6592"/>
    <w:rsid w:val="77C0049A"/>
    <w:rsid w:val="78342545"/>
    <w:rsid w:val="786C5DE5"/>
    <w:rsid w:val="787049EE"/>
    <w:rsid w:val="7882093A"/>
    <w:rsid w:val="78886D34"/>
    <w:rsid w:val="790A7EA5"/>
    <w:rsid w:val="7A326F58"/>
    <w:rsid w:val="7A3366D0"/>
    <w:rsid w:val="7A5E6AA8"/>
    <w:rsid w:val="7A6F3722"/>
    <w:rsid w:val="7AAB22E5"/>
    <w:rsid w:val="7AFA6E71"/>
    <w:rsid w:val="7B054807"/>
    <w:rsid w:val="7B256ABC"/>
    <w:rsid w:val="7B551150"/>
    <w:rsid w:val="7B5A33B6"/>
    <w:rsid w:val="7BAA0283"/>
    <w:rsid w:val="7BC728C9"/>
    <w:rsid w:val="7BD92135"/>
    <w:rsid w:val="7BE40F02"/>
    <w:rsid w:val="7C1B7A8D"/>
    <w:rsid w:val="7C262AEC"/>
    <w:rsid w:val="7C550188"/>
    <w:rsid w:val="7C9E0530"/>
    <w:rsid w:val="7CAB2FF1"/>
    <w:rsid w:val="7CFF725B"/>
    <w:rsid w:val="7D8D4E8C"/>
    <w:rsid w:val="7D8F2693"/>
    <w:rsid w:val="7DB008BF"/>
    <w:rsid w:val="7DC363A7"/>
    <w:rsid w:val="7E533067"/>
    <w:rsid w:val="7E5C0A47"/>
    <w:rsid w:val="7E8B22F4"/>
    <w:rsid w:val="7E930822"/>
    <w:rsid w:val="7E982F81"/>
    <w:rsid w:val="7EB50EDD"/>
    <w:rsid w:val="7ED15C99"/>
    <w:rsid w:val="7EF6717D"/>
    <w:rsid w:val="7F14357B"/>
    <w:rsid w:val="7F2C63BD"/>
    <w:rsid w:val="7F581D26"/>
    <w:rsid w:val="7F6D0265"/>
    <w:rsid w:val="7F7A7451"/>
    <w:rsid w:val="7F8C7579"/>
    <w:rsid w:val="7FDB4950"/>
    <w:rsid w:val="7FDD5B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99"/>
    <w:pPr>
      <w:spacing w:beforeAutospacing="1"/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6"/>
    <w:qFormat/>
    <w:uiPriority w:val="1"/>
    <w:pPr>
      <w:ind w:left="923"/>
    </w:pPr>
    <w:rPr>
      <w:rFonts w:ascii="Arial Unicode MS" w:hAnsi="Arial Unicode MS" w:eastAsia="Arial Unicode MS" w:cs="Arial Unicode MS"/>
      <w:sz w:val="30"/>
      <w:szCs w:val="30"/>
      <w:lang w:val="zh-CN" w:bidi="zh-CN"/>
    </w:rPr>
  </w:style>
  <w:style w:type="paragraph" w:styleId="6">
    <w:name w:val="Body Text First Indent"/>
    <w:basedOn w:val="5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next w:val="5"/>
    <w:qFormat/>
    <w:uiPriority w:val="0"/>
    <w:pPr>
      <w:spacing w:after="120" w:afterLines="0"/>
      <w:ind w:left="420" w:leftChars="200"/>
    </w:pPr>
  </w:style>
  <w:style w:type="paragraph" w:styleId="8">
    <w:name w:val="Plain Text"/>
    <w:basedOn w:val="1"/>
    <w:qFormat/>
    <w:uiPriority w:val="0"/>
    <w:rPr>
      <w:rFonts w:ascii="宋体" w:hAnsi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5">
    <w:name w:val="FollowedHyperlink"/>
    <w:basedOn w:val="14"/>
    <w:qFormat/>
    <w:uiPriority w:val="0"/>
    <w:rPr>
      <w:color w:val="800080"/>
      <w:u w:val="none"/>
    </w:rPr>
  </w:style>
  <w:style w:type="character" w:styleId="16">
    <w:name w:val="Hyperlink"/>
    <w:basedOn w:val="14"/>
    <w:qFormat/>
    <w:uiPriority w:val="0"/>
    <w:rPr>
      <w:color w:val="0000FF"/>
      <w:u w:val="none"/>
    </w:rPr>
  </w:style>
  <w:style w:type="paragraph" w:customStyle="1" w:styleId="17">
    <w:name w:val="标题a"/>
    <w:basedOn w:val="12"/>
    <w:qFormat/>
    <w:uiPriority w:val="99"/>
    <w:pPr>
      <w:spacing w:before="0" w:after="0" w:line="410" w:lineRule="exact"/>
    </w:pPr>
    <w:rPr>
      <w:rFonts w:ascii="Times New Roman" w:hAnsi="Times New Roman" w:eastAsia="文鼎CS大宋" w:cs="Arial"/>
      <w:b w:val="0"/>
      <w:sz w:val="24"/>
    </w:rPr>
  </w:style>
  <w:style w:type="paragraph" w:customStyle="1" w:styleId="18">
    <w:name w:val="Body Text First Indent 2"/>
    <w:basedOn w:val="3"/>
    <w:qFormat/>
    <w:uiPriority w:val="0"/>
    <w:pPr>
      <w:spacing w:before="100" w:beforeLines="0" w:beforeAutospacing="1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9606</Words>
  <Characters>12321</Characters>
  <Lines>0</Lines>
  <Paragraphs>0</Paragraphs>
  <TotalTime>9</TotalTime>
  <ScaleCrop>false</ScaleCrop>
  <LinksUpToDate>false</LinksUpToDate>
  <CharactersWithSpaces>12497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2021-02-26T10:48:00Z</dcterms:created>
  <dc:creator>Administrator</dc:creator>
  <cp:lastModifiedBy>shen</cp:lastModifiedBy>
  <cp:lastPrinted>2023-03-20T10:07:00Z</cp:lastPrinted>
  <dcterms:modified xsi:type="dcterms:W3CDTF">2023-03-28T05:10:30Z</dcterms:modified>
  <dc:title>新疆生产建设兵团第六师五家渠市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BFF709F0975341579A805846D3AA58BE</vt:lpwstr>
  </property>
</Properties>
</file>