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9173"/>
      </w:tblGrid>
      <w:tr>
        <w:tblPrEx>
          <w:tblCellMar>
            <w:top w:w="0" w:type="dxa"/>
            <w:left w:w="108" w:type="dxa"/>
            <w:bottom w:w="0" w:type="dxa"/>
            <w:right w:w="108" w:type="dxa"/>
          </w:tblCellMar>
        </w:tblPrEx>
        <w:trPr>
          <w:trHeight w:val="1085" w:hRule="atLeast"/>
        </w:trPr>
        <w:tc>
          <w:tcPr>
            <w:tcW w:w="9173" w:type="dxa"/>
          </w:tcPr>
          <w:p>
            <w:pPr>
              <w:spacing w:line="360" w:lineRule="auto"/>
              <w:jc w:val="center"/>
              <w:rPr>
                <w:rFonts w:ascii="黑体" w:hAnsi="宋体" w:eastAsia="黑体"/>
                <w:spacing w:val="20"/>
                <w:w w:val="105"/>
                <w:sz w:val="48"/>
                <w:szCs w:val="48"/>
              </w:rPr>
            </w:pPr>
            <w:r>
              <w:rPr>
                <w:rFonts w:ascii="黑体" w:hAnsi="宋体" w:eastAsia="黑体"/>
                <w:b/>
                <w:sz w:val="48"/>
                <w:szCs w:val="48"/>
              </w:rPr>
              <w:pict>
                <v:line id="直接连接符 3" o:spid="_x0000_s2050" o:spt="20" style="position:absolute;left:0pt;flip:y;margin-left:4.15pt;margin-top:40.6pt;height:0pt;width:439.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">
                  <v:path arrowok="t"/>
                  <v:fill focussize="0,0"/>
                  <v:stroke weight="1.25pt"/>
                  <v:imagedata o:title=""/>
                  <o:lock v:ext="edit"/>
                </v:line>
              </w:pict>
            </w:r>
            <w:r>
              <w:rPr>
                <w:rFonts w:hint="eastAsia" w:ascii="黑体" w:hAnsi="宋体" w:eastAsia="黑体"/>
                <w:spacing w:val="20"/>
                <w:w w:val="105"/>
                <w:sz w:val="48"/>
                <w:szCs w:val="48"/>
              </w:rPr>
              <w:t>产品质量监督抽查实施细则</w:t>
            </w:r>
          </w:p>
        </w:tc>
      </w:tr>
    </w:tbl>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2023年-2024年新疆生产建设兵团第六师通用</w:t>
      </w: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硅酸盐水泥产品质量监督抽查实施细则</w:t>
      </w:r>
    </w:p>
    <w:p>
      <w:pPr>
        <w:tabs>
          <w:tab w:val="left" w:pos="6930"/>
        </w:tabs>
        <w:adjustRightInd w:val="0"/>
        <w:spacing w:line="480" w:lineRule="exact"/>
        <w:jc w:val="left"/>
        <w:rPr>
          <w:rFonts w:ascii="黑体" w:hAnsi="黑体" w:eastAsia="黑体" w:cs="黑体"/>
          <w:b/>
          <w:bCs/>
          <w:sz w:val="44"/>
          <w:szCs w:val="44"/>
        </w:rPr>
      </w:pPr>
    </w:p>
    <w:p>
      <w:pPr>
        <w:tabs>
          <w:tab w:val="left" w:pos="6930"/>
        </w:tabs>
        <w:adjustRightInd w:val="0"/>
        <w:spacing w:line="480" w:lineRule="exact"/>
        <w:jc w:val="left"/>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sz w:val="52"/>
          <w:szCs w:val="52"/>
        </w:rPr>
      </w:pPr>
    </w:p>
    <w:p>
      <w:pPr>
        <w:adjustRightInd w:val="0"/>
        <w:spacing w:line="480" w:lineRule="exact"/>
        <w:jc w:val="center"/>
        <w:rPr>
          <w:rFonts w:ascii="黑体" w:hAnsi="宋体" w:eastAsia="黑体"/>
          <w:sz w:val="52"/>
          <w:szCs w:val="52"/>
        </w:rPr>
      </w:pPr>
    </w:p>
    <w:p>
      <w:pPr>
        <w:adjustRightInd w:val="0"/>
        <w:spacing w:line="480" w:lineRule="exact"/>
        <w:jc w:val="center"/>
        <w:rPr>
          <w:rFonts w:ascii="黑体" w:hAnsi="宋体" w:eastAsia="黑体"/>
          <w:sz w:val="52"/>
          <w:szCs w:val="52"/>
        </w:rPr>
      </w:pPr>
      <w:r>
        <w:rPr>
          <w:rFonts w:hint="eastAsia" w:ascii="黑体" w:hAnsi="宋体" w:eastAsia="黑体"/>
          <w:sz w:val="52"/>
          <w:szCs w:val="52"/>
        </w:rPr>
        <w:t xml:space="preserve">   </w:t>
      </w: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bookmarkStart w:id="0" w:name="_GoBack"/>
      <w:bookmarkEnd w:id="0"/>
    </w:p>
    <w:p>
      <w:pPr>
        <w:adjustRightInd w:val="0"/>
        <w:spacing w:line="480" w:lineRule="exact"/>
        <w:rPr>
          <w:rFonts w:ascii="黑体" w:hAnsi="宋体" w:eastAsia="黑体"/>
          <w:b/>
          <w:sz w:val="52"/>
          <w:szCs w:val="52"/>
        </w:rPr>
      </w:pPr>
    </w:p>
    <w:p>
      <w:pPr>
        <w:adjustRightInd w:val="0"/>
        <w:spacing w:line="480" w:lineRule="exact"/>
        <w:jc w:val="left"/>
        <w:rPr>
          <w:rFonts w:ascii="黑体" w:hAnsi="黑体" w:eastAsia="黑体" w:cs="黑体"/>
          <w:b/>
          <w:bCs/>
          <w:sz w:val="24"/>
        </w:rPr>
      </w:pPr>
      <w:r>
        <w:rPr>
          <w:rFonts w:hint="eastAsia" w:ascii="黑体" w:hAnsi="黑体" w:eastAsia="黑体" w:cs="黑体"/>
          <w:sz w:val="24"/>
        </w:rPr>
        <w:t>2023-10</w:t>
      </w:r>
      <w:r>
        <w:rPr>
          <w:rFonts w:ascii="黑体" w:hAnsi="黑体" w:eastAsia="黑体" w:cs="黑体"/>
          <w:sz w:val="24"/>
        </w:rPr>
        <w:t>-</w:t>
      </w:r>
      <w:r>
        <w:rPr>
          <w:rFonts w:hint="eastAsia" w:ascii="黑体" w:hAnsi="黑体" w:eastAsia="黑体" w:cs="黑体"/>
          <w:sz w:val="24"/>
          <w:lang w:val="en-US" w:eastAsia="zh-CN"/>
        </w:rPr>
        <w:t>30</w:t>
      </w:r>
      <w:r>
        <w:rPr>
          <w:rFonts w:hint="eastAsia" w:ascii="黑体" w:hAnsi="黑体" w:eastAsia="黑体" w:cs="黑体"/>
          <w:sz w:val="24"/>
        </w:rPr>
        <w:t>发布                                        2023-10</w:t>
      </w:r>
      <w:r>
        <w:rPr>
          <w:rFonts w:ascii="黑体" w:hAnsi="黑体" w:eastAsia="黑体" w:cs="黑体"/>
          <w:sz w:val="24"/>
        </w:rPr>
        <w:t>-</w:t>
      </w:r>
      <w:r>
        <w:rPr>
          <w:rFonts w:hint="eastAsia" w:ascii="黑体" w:hAnsi="黑体" w:eastAsia="黑体" w:cs="黑体"/>
          <w:sz w:val="24"/>
          <w:lang w:val="en-US" w:eastAsia="zh-CN"/>
        </w:rPr>
        <w:t>30</w:t>
      </w:r>
      <w:r>
        <w:rPr>
          <w:rFonts w:hint="eastAsia" w:ascii="黑体" w:hAnsi="黑体" w:eastAsia="黑体" w:cs="黑体"/>
          <w:sz w:val="24"/>
        </w:rPr>
        <w:t>实施</w:t>
      </w:r>
    </w:p>
    <w:p>
      <w:pPr>
        <w:spacing w:line="440" w:lineRule="exact"/>
        <w:jc w:val="center"/>
        <w:rPr>
          <w:rFonts w:ascii="黑体" w:hAnsi="宋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361" w:bottom="1361" w:left="1588" w:header="851" w:footer="992" w:gutter="0"/>
          <w:pgNumType w:start="1"/>
          <w:cols w:space="720" w:num="1"/>
          <w:titlePg/>
          <w:docGrid w:type="lines" w:linePitch="312" w:charSpace="0"/>
        </w:sectPr>
      </w:pPr>
      <w:r>
        <w:rPr>
          <w:rFonts w:ascii="黑体" w:hAnsi="宋体" w:eastAsia="黑体" w:cs="黑体"/>
          <w:sz w:val="32"/>
          <w:szCs w:val="32"/>
        </w:rPr>
        <w:pict>
          <v:shape id="_x0000_s2051" o:spid="_x0000_s2051" o:spt="32" type="#_x0000_t32" style="position:absolute;left:0pt;margin-left:-15.65pt;margin-top:2.35pt;height:0pt;width:459.15pt;z-index:251660288;mso-width-relative:page;mso-height-relative:page;" o:connectortype="straight" filled="f" coordsize="21600,21600">
            <v:path arrowok="t"/>
            <v:fill on="f" focussize="0,0"/>
            <v:stroke weight="1.5pt"/>
            <v:imagedata o:title=""/>
            <o:lock v:ext="edit"/>
          </v:shape>
        </w:pict>
      </w:r>
      <w:r>
        <w:rPr>
          <w:rFonts w:hint="eastAsia" w:ascii="黑体" w:hAnsi="宋体" w:eastAsia="黑体" w:cs="黑体"/>
          <w:sz w:val="32"/>
          <w:szCs w:val="32"/>
        </w:rPr>
        <w:t>新疆生产建设兵团第六师市场监督管理局</w:t>
      </w:r>
    </w:p>
    <w:p>
      <w:pPr>
        <w:spacing w:line="360" w:lineRule="auto"/>
        <w:jc w:val="center"/>
        <w:rPr>
          <w:rFonts w:ascii="Arial Unicode MS" w:hAnsi="仿宋" w:eastAsia="Arial Unicode MS" w:cs="Arial Unicode MS"/>
          <w:b/>
          <w:color w:val="000000"/>
          <w:sz w:val="32"/>
          <w:szCs w:val="32"/>
        </w:rPr>
      </w:pPr>
      <w:r>
        <w:rPr>
          <w:rFonts w:hint="eastAsia" w:ascii="Arial Unicode MS" w:hAnsi="仿宋" w:eastAsia="Arial Unicode MS" w:cs="Arial Unicode MS"/>
          <w:b/>
          <w:color w:val="000000"/>
          <w:sz w:val="32"/>
          <w:szCs w:val="32"/>
        </w:rPr>
        <w:t>2023年-2024年新疆生产建设兵团第六师</w:t>
      </w:r>
      <w:r>
        <w:rPr>
          <w:rFonts w:ascii="Arial Unicode MS" w:hAnsi="仿宋" w:eastAsia="Arial Unicode MS" w:cs="Arial Unicode MS"/>
          <w:b/>
          <w:color w:val="000000"/>
          <w:sz w:val="32"/>
          <w:szCs w:val="32"/>
        </w:rPr>
        <w:t>通用硅酸盐</w:t>
      </w:r>
      <w:r>
        <w:rPr>
          <w:rFonts w:hint="eastAsia" w:ascii="Arial Unicode MS" w:hAnsi="仿宋" w:eastAsia="Arial Unicode MS" w:cs="Arial Unicode MS"/>
          <w:b/>
          <w:color w:val="000000"/>
          <w:sz w:val="32"/>
          <w:szCs w:val="32"/>
        </w:rPr>
        <w:t>水泥</w:t>
      </w:r>
    </w:p>
    <w:p>
      <w:pPr>
        <w:spacing w:line="440" w:lineRule="exact"/>
        <w:jc w:val="center"/>
        <w:rPr>
          <w:rFonts w:ascii="Arial Unicode MS" w:hAnsi="仿宋" w:eastAsia="Arial Unicode MS" w:cs="Arial Unicode MS"/>
          <w:b/>
          <w:color w:val="000000"/>
          <w:sz w:val="32"/>
          <w:szCs w:val="32"/>
        </w:rPr>
      </w:pPr>
      <w:r>
        <w:rPr>
          <w:rFonts w:hint="eastAsia" w:ascii="Arial Unicode MS" w:hAnsi="仿宋" w:eastAsia="Arial Unicode MS" w:cs="Arial Unicode MS"/>
          <w:b/>
          <w:color w:val="000000"/>
          <w:sz w:val="32"/>
          <w:szCs w:val="32"/>
        </w:rPr>
        <w:t>产品质量监督抽查实施细则</w:t>
      </w:r>
    </w:p>
    <w:p>
      <w:pPr>
        <w:adjustRightInd w:val="0"/>
        <w:snapToGrid w:val="0"/>
        <w:spacing w:line="360" w:lineRule="auto"/>
        <w:jc w:val="center"/>
        <w:rPr>
          <w:rFonts w:ascii="Arial Unicode MS" w:hAnsi="仿宋" w:eastAsia="Arial Unicode MS" w:cs="Arial Unicode MS"/>
          <w:sz w:val="32"/>
          <w:szCs w:val="32"/>
        </w:rPr>
      </w:pPr>
    </w:p>
    <w:p>
      <w:pPr>
        <w:adjustRightInd w:val="0"/>
        <w:snapToGrid w:val="0"/>
        <w:spacing w:line="360" w:lineRule="auto"/>
        <w:rPr>
          <w:rFonts w:ascii="黑体" w:hAnsi="黑体" w:eastAsia="黑体"/>
          <w:b/>
          <w:szCs w:val="21"/>
        </w:rPr>
      </w:pPr>
      <w:r>
        <w:rPr>
          <w:rFonts w:hint="eastAsia" w:ascii="黑体" w:hAnsi="黑体" w:eastAsia="黑体"/>
          <w:b/>
          <w:szCs w:val="21"/>
        </w:rPr>
        <w:t>1 抽样方法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pPr>
        <w:snapToGrid w:val="0"/>
        <w:spacing w:line="360" w:lineRule="auto"/>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抽取样品应为同一生产企业生产的同一品种和强度等级、同一批次的产品。如存在多个品种与强度等级可以抽取时，应优先抽取普通硅酸盐水泥42.5强度等级的产品。</w:t>
      </w:r>
    </w:p>
    <w:p>
      <w:pPr>
        <w:snapToGrid w:val="0"/>
        <w:spacing w:line="360" w:lineRule="auto"/>
        <w:ind w:firstLine="420" w:firstLineChars="200"/>
      </w:pPr>
      <w:r>
        <w:rPr>
          <w:rFonts w:hint="eastAsia" w:ascii="宋体" w:hAnsi="宋体"/>
          <w:color w:val="000000"/>
          <w:szCs w:val="21"/>
        </w:rPr>
        <w:t>每批次抽取的样品数量不得少于12kg，将样品均分为两份，每份至少6kg，其中一份为检验样品，另一份为备用样品。</w:t>
      </w:r>
    </w:p>
    <w:p>
      <w:pPr>
        <w:snapToGrid w:val="0"/>
        <w:spacing w:line="360" w:lineRule="auto"/>
        <w:ind w:firstLine="420" w:firstLineChars="200"/>
      </w:pPr>
    </w:p>
    <w:p>
      <w:pPr>
        <w:adjustRightInd w:val="0"/>
        <w:snapToGrid w:val="0"/>
        <w:spacing w:line="360" w:lineRule="auto"/>
        <w:rPr>
          <w:rFonts w:ascii="黑体" w:hAnsi="黑体" w:eastAsia="黑体"/>
          <w:b/>
          <w:szCs w:val="21"/>
        </w:rPr>
      </w:pPr>
      <w:r>
        <w:rPr>
          <w:rFonts w:hint="eastAsia" w:ascii="黑体" w:hAnsi="黑体" w:eastAsia="黑体"/>
          <w:b/>
          <w:szCs w:val="21"/>
        </w:rPr>
        <w:t>2 检验依据</w:t>
      </w:r>
    </w:p>
    <w:p>
      <w:pPr>
        <w:snapToGrid w:val="0"/>
        <w:spacing w:line="360" w:lineRule="auto"/>
        <w:ind w:firstLine="420" w:firstLineChars="200"/>
        <w:rPr>
          <w:rFonts w:hAnsi="宋体" w:cs="宋体"/>
          <w:szCs w:val="22"/>
        </w:rPr>
      </w:pPr>
      <w:r>
        <w:rPr>
          <w:rFonts w:hAnsi="宋体" w:cs="宋体"/>
          <w:szCs w:val="22"/>
        </w:rPr>
        <w:t>通用硅酸盐</w:t>
      </w:r>
      <w:r>
        <w:rPr>
          <w:rFonts w:hint="eastAsia" w:hAnsi="宋体" w:cs="宋体"/>
          <w:szCs w:val="22"/>
        </w:rPr>
        <w:t>水泥产品的检验项目及检验方法见表1。</w:t>
      </w:r>
    </w:p>
    <w:p>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 xml:space="preserve">表1   </w:t>
      </w:r>
      <w:r>
        <w:rPr>
          <w:rFonts w:asciiTheme="minorEastAsia" w:hAnsiTheme="minorEastAsia" w:eastAsiaTheme="minorEastAsia"/>
          <w:bCs/>
          <w:color w:val="000000"/>
          <w:sz w:val="18"/>
          <w:szCs w:val="18"/>
        </w:rPr>
        <w:t>通用硅酸盐</w:t>
      </w:r>
      <w:r>
        <w:rPr>
          <w:rFonts w:hint="eastAsia" w:asciiTheme="minorEastAsia" w:hAnsiTheme="minorEastAsia" w:eastAsiaTheme="minorEastAsia"/>
          <w:bCs/>
          <w:color w:val="000000"/>
          <w:sz w:val="18"/>
          <w:szCs w:val="18"/>
        </w:rPr>
        <w:t>水泥</w:t>
      </w:r>
      <w:r>
        <w:rPr>
          <w:rFonts w:asciiTheme="minorEastAsia" w:hAnsiTheme="minorEastAsia" w:eastAsiaTheme="minorEastAsia"/>
          <w:bCs/>
          <w:color w:val="000000"/>
          <w:sz w:val="18"/>
          <w:szCs w:val="18"/>
        </w:rPr>
        <w:t>检验项目</w:t>
      </w:r>
      <w:r>
        <w:rPr>
          <w:rFonts w:hint="eastAsia" w:asciiTheme="minorEastAsia" w:hAnsiTheme="minorEastAsia" w:eastAsiaTheme="minorEastAsia"/>
          <w:bCs/>
          <w:color w:val="000000"/>
          <w:sz w:val="18"/>
          <w:szCs w:val="18"/>
        </w:rPr>
        <w:t>及</w:t>
      </w:r>
      <w:r>
        <w:rPr>
          <w:rFonts w:hint="eastAsia" w:ascii="宋体" w:hAnsi="宋体" w:cs="宋体"/>
          <w:color w:val="000000"/>
          <w:kern w:val="0"/>
          <w:sz w:val="18"/>
          <w:szCs w:val="18"/>
        </w:rPr>
        <w:t>检验方法</w:t>
      </w:r>
    </w:p>
    <w:tbl>
      <w:tblPr>
        <w:tblStyle w:val="9"/>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序号</w:t>
            </w:r>
          </w:p>
        </w:tc>
        <w:tc>
          <w:tcPr>
            <w:tcW w:w="2961"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检验项目</w:t>
            </w:r>
          </w:p>
        </w:tc>
        <w:tc>
          <w:tcPr>
            <w:tcW w:w="42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1</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三氧化硫</w:t>
            </w:r>
          </w:p>
        </w:tc>
        <w:tc>
          <w:tcPr>
            <w:tcW w:w="4282" w:type="dxa"/>
            <w:vMerge w:val="restart"/>
            <w:vAlign w:val="center"/>
          </w:tcPr>
          <w:p>
            <w:pPr>
              <w:snapToGrid w:val="0"/>
              <w:jc w:val="center"/>
              <w:rPr>
                <w:rFonts w:asciiTheme="minorEastAsia" w:hAnsiTheme="minorEastAsia" w:eastAsiaTheme="minorEastAsia"/>
                <w:bCs/>
                <w:sz w:val="18"/>
                <w:szCs w:val="18"/>
              </w:rPr>
            </w:pPr>
            <w:r>
              <w:rPr>
                <w:rFonts w:cs="宋体" w:asciiTheme="minorEastAsia" w:hAnsiTheme="minorEastAsia" w:eastAsiaTheme="minorEastAsia"/>
                <w:sz w:val="18"/>
                <w:szCs w:val="18"/>
              </w:rPr>
              <w:t>GB</w:t>
            </w:r>
            <w:r>
              <w:rPr>
                <w:rFonts w:hint="eastAsia" w:cs="宋体" w:asciiTheme="minorEastAsia" w:hAnsiTheme="minorEastAsia" w:eastAsiaTheme="minorEastAsia"/>
                <w:sz w:val="18"/>
                <w:szCs w:val="18"/>
              </w:rPr>
              <w:t>/T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2</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氧化镁</w:t>
            </w:r>
          </w:p>
        </w:tc>
        <w:tc>
          <w:tcPr>
            <w:tcW w:w="4282" w:type="dxa"/>
            <w:vMerge w:val="continue"/>
            <w:vAlign w:val="center"/>
          </w:tcPr>
          <w:p>
            <w:pPr>
              <w:snapToGrid w:val="0"/>
              <w:jc w:val="center"/>
              <w:rPr>
                <w:rFonts w:asciiTheme="minorEastAsia" w:hAnsiTheme="minorEastAsia" w:eastAsiaTheme="minor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3</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烧失量</w:t>
            </w:r>
          </w:p>
        </w:tc>
        <w:tc>
          <w:tcPr>
            <w:tcW w:w="4282" w:type="dxa"/>
            <w:vMerge w:val="continue"/>
            <w:vAlign w:val="center"/>
          </w:tcPr>
          <w:p>
            <w:pPr>
              <w:snapToGrid w:val="0"/>
              <w:jc w:val="center"/>
              <w:rPr>
                <w:rFonts w:asciiTheme="minorEastAsia" w:hAnsiTheme="minorEastAsia" w:eastAsiaTheme="minor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4</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不溶物</w:t>
            </w:r>
          </w:p>
        </w:tc>
        <w:tc>
          <w:tcPr>
            <w:tcW w:w="4282" w:type="dxa"/>
            <w:vMerge w:val="continue"/>
            <w:vAlign w:val="center"/>
          </w:tcPr>
          <w:p>
            <w:pPr>
              <w:snapToGrid w:val="0"/>
              <w:jc w:val="center"/>
              <w:rPr>
                <w:rFonts w:asciiTheme="minorEastAsia" w:hAnsiTheme="minorEastAsia" w:eastAsiaTheme="minor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5</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氯离子</w:t>
            </w:r>
          </w:p>
        </w:tc>
        <w:tc>
          <w:tcPr>
            <w:tcW w:w="4282" w:type="dxa"/>
            <w:vMerge w:val="continue"/>
            <w:vAlign w:val="center"/>
          </w:tcPr>
          <w:p>
            <w:pPr>
              <w:snapToGrid w:val="0"/>
              <w:jc w:val="center"/>
              <w:rPr>
                <w:rFonts w:asciiTheme="minorEastAsia" w:hAnsiTheme="minorEastAsia" w:eastAsiaTheme="minor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6</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凝结时间</w:t>
            </w:r>
          </w:p>
        </w:tc>
        <w:tc>
          <w:tcPr>
            <w:tcW w:w="4282" w:type="dxa"/>
            <w:vMerge w:val="restart"/>
            <w:vAlign w:val="center"/>
          </w:tcPr>
          <w:p>
            <w:pPr>
              <w:snapToGrid w:val="0"/>
              <w:jc w:val="center"/>
              <w:rPr>
                <w:rFonts w:asciiTheme="minorEastAsia" w:hAnsiTheme="minorEastAsia" w:eastAsiaTheme="minorEastAsia"/>
                <w:bCs/>
                <w:color w:val="000000"/>
                <w:sz w:val="18"/>
                <w:szCs w:val="18"/>
              </w:rPr>
            </w:pPr>
            <w:r>
              <w:rPr>
                <w:rFonts w:cs="宋体" w:asciiTheme="minorEastAsia" w:hAnsiTheme="minorEastAsia" w:eastAsiaTheme="minorEastAsia"/>
                <w:sz w:val="18"/>
                <w:szCs w:val="18"/>
              </w:rPr>
              <w:t>GB</w:t>
            </w:r>
            <w:r>
              <w:rPr>
                <w:rFonts w:hint="eastAsia" w:cs="宋体" w:asciiTheme="minorEastAsia" w:hAnsiTheme="minorEastAsia" w:eastAsiaTheme="minorEastAsia"/>
                <w:sz w:val="18"/>
                <w:szCs w:val="18"/>
              </w:rPr>
              <w:t>/T 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asciiTheme="minorEastAsia" w:hAnsiTheme="minorEastAsia" w:eastAsiaTheme="minorEastAsia"/>
                <w:bCs/>
                <w:color w:val="000000"/>
                <w:sz w:val="18"/>
                <w:szCs w:val="18"/>
              </w:rPr>
              <w:t>7</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安定性</w:t>
            </w:r>
          </w:p>
        </w:tc>
        <w:tc>
          <w:tcPr>
            <w:tcW w:w="4282" w:type="dxa"/>
            <w:vMerge w:val="continue"/>
            <w:vAlign w:val="center"/>
          </w:tcPr>
          <w:p>
            <w:pPr>
              <w:snapToGrid w:val="0"/>
              <w:jc w:val="center"/>
              <w:rPr>
                <w:rFonts w:asciiTheme="minorEastAsia" w:hAnsiTheme="minorEastAsia" w:eastAsiaTheme="minorEastAsia"/>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8</w:t>
            </w:r>
          </w:p>
        </w:tc>
        <w:tc>
          <w:tcPr>
            <w:tcW w:w="2961" w:type="dxa"/>
            <w:noWrap/>
            <w:vAlign w:val="center"/>
          </w:tcPr>
          <w:p>
            <w:pPr>
              <w:widowControl/>
              <w:ind w:right="198"/>
              <w:jc w:val="center"/>
              <w:rPr>
                <w:rFonts w:asciiTheme="minorEastAsia" w:hAnsiTheme="minorEastAsia" w:eastAsiaTheme="minorEastAsia"/>
                <w:sz w:val="18"/>
                <w:szCs w:val="18"/>
              </w:rPr>
            </w:pPr>
            <w:r>
              <w:rPr>
                <w:rFonts w:asciiTheme="minorEastAsia" w:hAnsiTheme="minorEastAsia" w:eastAsiaTheme="minorEastAsia"/>
                <w:sz w:val="18"/>
                <w:szCs w:val="18"/>
              </w:rPr>
              <w:t>强度</w:t>
            </w:r>
          </w:p>
        </w:tc>
        <w:tc>
          <w:tcPr>
            <w:tcW w:w="4282" w:type="dxa"/>
            <w:vAlign w:val="center"/>
          </w:tcPr>
          <w:p>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GB 175-2007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 w:type="dxa"/>
            <w:noWrap/>
            <w:vAlign w:val="center"/>
          </w:tcPr>
          <w:p>
            <w:pPr>
              <w:snapToGrid w:val="0"/>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9</w:t>
            </w:r>
          </w:p>
        </w:tc>
        <w:tc>
          <w:tcPr>
            <w:tcW w:w="2961" w:type="dxa"/>
            <w:noWrap/>
            <w:vAlign w:val="center"/>
          </w:tcPr>
          <w:p>
            <w:pPr>
              <w:widowControl/>
              <w:ind w:right="19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放射性</w:t>
            </w:r>
          </w:p>
        </w:tc>
        <w:tc>
          <w:tcPr>
            <w:tcW w:w="4282" w:type="dxa"/>
            <w:vAlign w:val="center"/>
          </w:tcPr>
          <w:p>
            <w:pPr>
              <w:snapToGrid w:val="0"/>
              <w:jc w:val="center"/>
              <w:rPr>
                <w:rFonts w:asciiTheme="minorEastAsia" w:hAnsiTheme="minorEastAsia" w:eastAsiaTheme="minorEastAsia"/>
                <w:bCs/>
                <w:color w:val="000000"/>
                <w:sz w:val="18"/>
                <w:szCs w:val="18"/>
              </w:rPr>
            </w:pPr>
            <w:r>
              <w:rPr>
                <w:rFonts w:hint="eastAsia" w:ascii="宋体" w:hAnsi="宋体" w:cs="宋体"/>
                <w:bCs/>
                <w:color w:val="000000"/>
                <w:sz w:val="18"/>
                <w:szCs w:val="18"/>
              </w:rPr>
              <w:t>GB 6566-2010</w:t>
            </w:r>
          </w:p>
        </w:tc>
      </w:tr>
    </w:tbl>
    <w:p>
      <w:pPr>
        <w:snapToGrid w:val="0"/>
        <w:ind w:firstLine="260" w:firstLineChars="200"/>
        <w:rPr>
          <w:rFonts w:ascii="宋体" w:hAnsi="宋体"/>
          <w:bCs/>
          <w:color w:val="000000"/>
          <w:sz w:val="13"/>
          <w:szCs w:val="13"/>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rFonts w:ascii="宋体" w:hAnsi="宋体"/>
          <w:color w:val="000000"/>
          <w:szCs w:val="21"/>
        </w:rPr>
      </w:pPr>
    </w:p>
    <w:p>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pPr>
        <w:snapToGrid w:val="0"/>
        <w:spacing w:line="360" w:lineRule="auto"/>
        <w:rPr>
          <w:rFonts w:ascii="宋体" w:hAnsi="宋体"/>
          <w:b/>
          <w:color w:val="000000"/>
          <w:szCs w:val="21"/>
        </w:rPr>
      </w:pPr>
      <w:r>
        <w:rPr>
          <w:rFonts w:hint="eastAsia" w:ascii="宋体" w:hAnsi="宋体"/>
          <w:b/>
          <w:color w:val="000000"/>
          <w:szCs w:val="21"/>
        </w:rPr>
        <w:t>3.1依据标准</w:t>
      </w:r>
    </w:p>
    <w:p>
      <w:pPr>
        <w:snapToGrid w:val="0"/>
        <w:spacing w:line="360" w:lineRule="auto"/>
        <w:ind w:firstLine="420" w:firstLineChars="200"/>
        <w:rPr>
          <w:rFonts w:ascii="宋体" w:hAnsi="宋体"/>
          <w:color w:val="000000"/>
          <w:szCs w:val="21"/>
        </w:rPr>
      </w:pPr>
      <w:r>
        <w:rPr>
          <w:rFonts w:ascii="宋体" w:hAnsi="宋体"/>
          <w:color w:val="000000"/>
          <w:szCs w:val="21"/>
        </w:rPr>
        <w:t>GB</w:t>
      </w:r>
      <w:r>
        <w:rPr>
          <w:rFonts w:hint="eastAsia" w:ascii="宋体" w:hAnsi="宋体"/>
          <w:color w:val="000000"/>
          <w:szCs w:val="21"/>
        </w:rPr>
        <w:t xml:space="preserve"> 175 -2007</w:t>
      </w:r>
      <w:r>
        <w:rPr>
          <w:rFonts w:ascii="宋体" w:hAnsi="宋体"/>
          <w:color w:val="000000"/>
          <w:szCs w:val="21"/>
        </w:rPr>
        <w:t>通用硅酸盐水泥</w:t>
      </w:r>
    </w:p>
    <w:p>
      <w:pPr>
        <w:snapToGrid w:val="0"/>
        <w:spacing w:line="360" w:lineRule="auto"/>
        <w:ind w:firstLine="420" w:firstLineChars="200"/>
        <w:rPr>
          <w:rFonts w:ascii="宋体" w:hAnsi="宋体" w:cs="宋体"/>
        </w:rPr>
      </w:pPr>
      <w:r>
        <w:rPr>
          <w:rFonts w:hint="eastAsia" w:ascii="宋体" w:hAnsi="宋体" w:cs="宋体"/>
        </w:rPr>
        <w:t>GB 6566-2010 建筑材料放射性核素限量</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pPr>
        <w:snapToGrid w:val="0"/>
        <w:spacing w:line="360" w:lineRule="auto"/>
        <w:rPr>
          <w:rFonts w:ascii="宋体" w:hAnsi="宋体"/>
          <w:b/>
          <w:color w:val="000000"/>
          <w:szCs w:val="21"/>
        </w:rPr>
      </w:pPr>
      <w:r>
        <w:rPr>
          <w:rFonts w:hint="eastAsia" w:ascii="宋体" w:hAnsi="宋体"/>
          <w:b/>
          <w:color w:val="000000"/>
          <w:szCs w:val="21"/>
        </w:rPr>
        <w:t>3.2判定原则</w:t>
      </w:r>
    </w:p>
    <w:p>
      <w:pPr>
        <w:snapToGrid w:val="0"/>
        <w:spacing w:line="360" w:lineRule="auto"/>
        <w:ind w:firstLine="417" w:firstLineChars="199"/>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napToGrid w:val="0"/>
        <w:spacing w:line="360" w:lineRule="auto"/>
        <w:ind w:left="422" w:hanging="422" w:hangingChars="200"/>
        <w:rPr>
          <w:rFonts w:ascii="黑体" w:hAnsi="黑体" w:eastAsia="黑体"/>
          <w:b/>
          <w:szCs w:val="21"/>
        </w:rPr>
      </w:pPr>
    </w:p>
    <w:p>
      <w:pPr>
        <w:snapToGrid w:val="0"/>
        <w:spacing w:line="360" w:lineRule="auto"/>
        <w:ind w:firstLine="417" w:firstLineChars="199"/>
        <w:rPr>
          <w:rFonts w:ascii="宋体" w:hAnsi="宋体"/>
          <w:color w:val="000000"/>
          <w:szCs w:val="21"/>
        </w:rPr>
      </w:pPr>
    </w:p>
    <w:p>
      <w:pPr>
        <w:snapToGrid w:val="0"/>
        <w:spacing w:line="360" w:lineRule="auto"/>
        <w:ind w:firstLine="417" w:firstLineChars="199"/>
        <w:rPr>
          <w:rFonts w:ascii="宋体" w:hAnsi="宋体"/>
          <w:color w:val="000000"/>
          <w:szCs w:val="21"/>
        </w:rPr>
      </w:pPr>
      <w:r>
        <w:rPr>
          <w:rFonts w:ascii="宋体" w:hAnsi="宋体"/>
          <w:color w:val="000000"/>
          <w:szCs w:val="21"/>
        </w:rPr>
        <w:pict>
          <v:shape id="_x0000_s2052" o:spid="_x0000_s2052" o:spt="32" type="#_x0000_t32" style="position:absolute;left:0pt;margin-left:123.45pt;margin-top:1.95pt;height:0pt;width:141.75pt;z-index:251661312;mso-width-relative:page;mso-height-relative:page;" o:connectortype="straight" filled="f" coordsize="21600,21600">
            <v:path arrowok="t"/>
            <v:fill on="f" focussize="0,0"/>
            <v:stroke weight="1.25pt"/>
            <v:imagedata o:title=""/>
            <o:lock v:ext="edit"/>
          </v:shape>
        </w:pict>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p>
    <w:p>
      <w:pPr>
        <w:snapToGrid w:val="0"/>
        <w:spacing w:line="360" w:lineRule="auto"/>
        <w:ind w:firstLine="417" w:firstLineChars="199"/>
        <w:rPr>
          <w:rFonts w:ascii="宋体" w:hAnsi="宋体"/>
          <w:color w:val="FF0000"/>
          <w:szCs w:val="21"/>
        </w:rPr>
      </w:pPr>
    </w:p>
    <w:sectPr>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EECFF1-0B31-4220-9E3E-6076AED519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BookMaker7DlFont70536871171">
    <w:altName w:val="Times New Roman"/>
    <w:panose1 w:val="00000000000000000000"/>
    <w:charset w:val="00"/>
    <w:family w:val="roman"/>
    <w:pitch w:val="default"/>
    <w:sig w:usb0="00000000" w:usb1="00000000" w:usb2="00000000" w:usb3="00000000" w:csb0="00000000" w:csb1="00000000"/>
  </w:font>
  <w:font w:name="FzBookMaker11DlFont110536871175">
    <w:altName w:val="Times New Roman"/>
    <w:panose1 w:val="00000000000000000000"/>
    <w:charset w:val="00"/>
    <w:family w:val="roman"/>
    <w:pitch w:val="default"/>
    <w:sig w:usb0="00000000" w:usb1="00000000" w:usb2="00000000" w:usb3="00000000" w:csb0="00000000" w:csb1="00000000"/>
  </w:font>
  <w:font w:name="FzBookMaker2DlFont20536871173">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embedRegular r:id="rId2" w:fontKey="{8252B586-4A2B-4255-BADD-97B7E8128FD8}"/>
  </w:font>
  <w:font w:name="仿宋">
    <w:panose1 w:val="02010609060101010101"/>
    <w:charset w:val="86"/>
    <w:family w:val="modern"/>
    <w:pitch w:val="default"/>
    <w:sig w:usb0="800002BF" w:usb1="38CF7CFA" w:usb2="00000016" w:usb3="00000000" w:csb0="00040001" w:csb1="00000000"/>
    <w:embedRegular r:id="rId3" w:fontKey="{AC9A05A4-2D5F-4E59-8FFA-5C50571F81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7569"/>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wZWQ4NDJjNDdmNDU2MmVlNTljMDE4OWQ1NjM2Y2IifQ=="/>
  </w:docVars>
  <w:rsids>
    <w:rsidRoot w:val="00172A27"/>
    <w:rsid w:val="00000B18"/>
    <w:rsid w:val="00006402"/>
    <w:rsid w:val="00023C4E"/>
    <w:rsid w:val="000276A9"/>
    <w:rsid w:val="000304C5"/>
    <w:rsid w:val="0003193A"/>
    <w:rsid w:val="00035064"/>
    <w:rsid w:val="00037D8D"/>
    <w:rsid w:val="0004011D"/>
    <w:rsid w:val="00051A44"/>
    <w:rsid w:val="00057121"/>
    <w:rsid w:val="00060ECF"/>
    <w:rsid w:val="000623A1"/>
    <w:rsid w:val="000672B7"/>
    <w:rsid w:val="00071001"/>
    <w:rsid w:val="00081CBD"/>
    <w:rsid w:val="000841A6"/>
    <w:rsid w:val="0009399B"/>
    <w:rsid w:val="000976DE"/>
    <w:rsid w:val="000D0007"/>
    <w:rsid w:val="000D3759"/>
    <w:rsid w:val="000D45B9"/>
    <w:rsid w:val="000E24C4"/>
    <w:rsid w:val="000F5C83"/>
    <w:rsid w:val="000F64F9"/>
    <w:rsid w:val="000F6E44"/>
    <w:rsid w:val="000F7E56"/>
    <w:rsid w:val="001035C2"/>
    <w:rsid w:val="00106D82"/>
    <w:rsid w:val="00115BC8"/>
    <w:rsid w:val="00115FA1"/>
    <w:rsid w:val="00122CB7"/>
    <w:rsid w:val="00131D65"/>
    <w:rsid w:val="001427FD"/>
    <w:rsid w:val="001437C2"/>
    <w:rsid w:val="00144CD3"/>
    <w:rsid w:val="00155096"/>
    <w:rsid w:val="0015743B"/>
    <w:rsid w:val="001715A9"/>
    <w:rsid w:val="00172A27"/>
    <w:rsid w:val="00175489"/>
    <w:rsid w:val="001754B1"/>
    <w:rsid w:val="001809DD"/>
    <w:rsid w:val="001845E3"/>
    <w:rsid w:val="0018638C"/>
    <w:rsid w:val="001A65B0"/>
    <w:rsid w:val="001C1F87"/>
    <w:rsid w:val="001C4820"/>
    <w:rsid w:val="001C4F34"/>
    <w:rsid w:val="001D1FBC"/>
    <w:rsid w:val="001D5C67"/>
    <w:rsid w:val="001D6824"/>
    <w:rsid w:val="001E4729"/>
    <w:rsid w:val="001E4F8B"/>
    <w:rsid w:val="001F2D1F"/>
    <w:rsid w:val="00210539"/>
    <w:rsid w:val="00223317"/>
    <w:rsid w:val="00225BB4"/>
    <w:rsid w:val="00227E0E"/>
    <w:rsid w:val="002448A3"/>
    <w:rsid w:val="00253624"/>
    <w:rsid w:val="002547A0"/>
    <w:rsid w:val="00262E8B"/>
    <w:rsid w:val="002710B5"/>
    <w:rsid w:val="00274E3E"/>
    <w:rsid w:val="002825C2"/>
    <w:rsid w:val="00287B95"/>
    <w:rsid w:val="00293B52"/>
    <w:rsid w:val="002A02DD"/>
    <w:rsid w:val="002A560E"/>
    <w:rsid w:val="002A7719"/>
    <w:rsid w:val="002A7D1C"/>
    <w:rsid w:val="002B50E7"/>
    <w:rsid w:val="002D17A5"/>
    <w:rsid w:val="002D48CE"/>
    <w:rsid w:val="002D7F8A"/>
    <w:rsid w:val="002E0D1D"/>
    <w:rsid w:val="002E1EAC"/>
    <w:rsid w:val="002E369A"/>
    <w:rsid w:val="002E68A8"/>
    <w:rsid w:val="002E772A"/>
    <w:rsid w:val="002F49EA"/>
    <w:rsid w:val="00305B0D"/>
    <w:rsid w:val="00306A87"/>
    <w:rsid w:val="00311DD2"/>
    <w:rsid w:val="003203A3"/>
    <w:rsid w:val="003222A6"/>
    <w:rsid w:val="00350558"/>
    <w:rsid w:val="003659F7"/>
    <w:rsid w:val="00370830"/>
    <w:rsid w:val="00371567"/>
    <w:rsid w:val="00375E4A"/>
    <w:rsid w:val="00376283"/>
    <w:rsid w:val="00385C6B"/>
    <w:rsid w:val="0039208F"/>
    <w:rsid w:val="00392A15"/>
    <w:rsid w:val="003A1E75"/>
    <w:rsid w:val="003B226D"/>
    <w:rsid w:val="003C3420"/>
    <w:rsid w:val="003C388C"/>
    <w:rsid w:val="003C4CFD"/>
    <w:rsid w:val="003C6F9C"/>
    <w:rsid w:val="003D0118"/>
    <w:rsid w:val="003D4282"/>
    <w:rsid w:val="003E4890"/>
    <w:rsid w:val="003E61BF"/>
    <w:rsid w:val="0040154B"/>
    <w:rsid w:val="004074E8"/>
    <w:rsid w:val="00417F92"/>
    <w:rsid w:val="00427D8E"/>
    <w:rsid w:val="00441CD2"/>
    <w:rsid w:val="00442A9A"/>
    <w:rsid w:val="00445E86"/>
    <w:rsid w:val="00456D8D"/>
    <w:rsid w:val="0045755F"/>
    <w:rsid w:val="00457A50"/>
    <w:rsid w:val="00474E04"/>
    <w:rsid w:val="004820E0"/>
    <w:rsid w:val="00490A9C"/>
    <w:rsid w:val="004A2393"/>
    <w:rsid w:val="004A29CE"/>
    <w:rsid w:val="004A4293"/>
    <w:rsid w:val="004C467E"/>
    <w:rsid w:val="004D0C5A"/>
    <w:rsid w:val="004D0E11"/>
    <w:rsid w:val="004D25D5"/>
    <w:rsid w:val="004D3D41"/>
    <w:rsid w:val="004E1396"/>
    <w:rsid w:val="004E1F92"/>
    <w:rsid w:val="004E6582"/>
    <w:rsid w:val="004E659F"/>
    <w:rsid w:val="004F23B6"/>
    <w:rsid w:val="004F4DF1"/>
    <w:rsid w:val="00515553"/>
    <w:rsid w:val="005160B2"/>
    <w:rsid w:val="00520E09"/>
    <w:rsid w:val="005317D6"/>
    <w:rsid w:val="00534A58"/>
    <w:rsid w:val="005423FF"/>
    <w:rsid w:val="005431BD"/>
    <w:rsid w:val="00550747"/>
    <w:rsid w:val="00551936"/>
    <w:rsid w:val="005523B4"/>
    <w:rsid w:val="00555F9A"/>
    <w:rsid w:val="00557DE8"/>
    <w:rsid w:val="005608C8"/>
    <w:rsid w:val="00560BA9"/>
    <w:rsid w:val="00563EBC"/>
    <w:rsid w:val="0057526F"/>
    <w:rsid w:val="0059437C"/>
    <w:rsid w:val="005A3370"/>
    <w:rsid w:val="005A62EF"/>
    <w:rsid w:val="005B210F"/>
    <w:rsid w:val="005C50E3"/>
    <w:rsid w:val="005C7F5D"/>
    <w:rsid w:val="005E6344"/>
    <w:rsid w:val="005F3116"/>
    <w:rsid w:val="006043EF"/>
    <w:rsid w:val="006241C7"/>
    <w:rsid w:val="00627861"/>
    <w:rsid w:val="00627B95"/>
    <w:rsid w:val="00643C90"/>
    <w:rsid w:val="006456DE"/>
    <w:rsid w:val="006617E9"/>
    <w:rsid w:val="00664DE7"/>
    <w:rsid w:val="006661AC"/>
    <w:rsid w:val="0067489B"/>
    <w:rsid w:val="006754EA"/>
    <w:rsid w:val="00683994"/>
    <w:rsid w:val="006A0617"/>
    <w:rsid w:val="006A0D1B"/>
    <w:rsid w:val="006A4981"/>
    <w:rsid w:val="006B3511"/>
    <w:rsid w:val="006B4E28"/>
    <w:rsid w:val="006B7ACD"/>
    <w:rsid w:val="006C2301"/>
    <w:rsid w:val="006D16E2"/>
    <w:rsid w:val="006E352B"/>
    <w:rsid w:val="006E507D"/>
    <w:rsid w:val="006E67B2"/>
    <w:rsid w:val="006F0971"/>
    <w:rsid w:val="007035AB"/>
    <w:rsid w:val="007064E0"/>
    <w:rsid w:val="007076A7"/>
    <w:rsid w:val="0071152C"/>
    <w:rsid w:val="00720D95"/>
    <w:rsid w:val="00721C12"/>
    <w:rsid w:val="0072334C"/>
    <w:rsid w:val="00730EE2"/>
    <w:rsid w:val="007322DF"/>
    <w:rsid w:val="00740BD6"/>
    <w:rsid w:val="0074174D"/>
    <w:rsid w:val="00754D56"/>
    <w:rsid w:val="00756A15"/>
    <w:rsid w:val="0076091D"/>
    <w:rsid w:val="007626BB"/>
    <w:rsid w:val="00762707"/>
    <w:rsid w:val="00764B44"/>
    <w:rsid w:val="00765F1D"/>
    <w:rsid w:val="00785F6C"/>
    <w:rsid w:val="00796065"/>
    <w:rsid w:val="007B3BBD"/>
    <w:rsid w:val="007C1867"/>
    <w:rsid w:val="007C2AAF"/>
    <w:rsid w:val="007C6565"/>
    <w:rsid w:val="007D4454"/>
    <w:rsid w:val="007D5622"/>
    <w:rsid w:val="007E4A72"/>
    <w:rsid w:val="007F26B4"/>
    <w:rsid w:val="00803103"/>
    <w:rsid w:val="0080654F"/>
    <w:rsid w:val="008121A2"/>
    <w:rsid w:val="0081453E"/>
    <w:rsid w:val="00815C30"/>
    <w:rsid w:val="00826E9F"/>
    <w:rsid w:val="00832480"/>
    <w:rsid w:val="0083350B"/>
    <w:rsid w:val="00833A7C"/>
    <w:rsid w:val="00835F10"/>
    <w:rsid w:val="0084366D"/>
    <w:rsid w:val="00854F6E"/>
    <w:rsid w:val="00865D04"/>
    <w:rsid w:val="00875457"/>
    <w:rsid w:val="00895BEA"/>
    <w:rsid w:val="008A0055"/>
    <w:rsid w:val="008A0FF4"/>
    <w:rsid w:val="008A3497"/>
    <w:rsid w:val="008A5AF6"/>
    <w:rsid w:val="008A5D98"/>
    <w:rsid w:val="008B69C6"/>
    <w:rsid w:val="008B6AA6"/>
    <w:rsid w:val="008D77BE"/>
    <w:rsid w:val="008E32F0"/>
    <w:rsid w:val="008E5B49"/>
    <w:rsid w:val="008E73FB"/>
    <w:rsid w:val="008F2CA7"/>
    <w:rsid w:val="00904C06"/>
    <w:rsid w:val="009055F7"/>
    <w:rsid w:val="00913832"/>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15C9"/>
    <w:rsid w:val="009B29FC"/>
    <w:rsid w:val="009B5EF0"/>
    <w:rsid w:val="009C5F1E"/>
    <w:rsid w:val="009D29B0"/>
    <w:rsid w:val="009D346B"/>
    <w:rsid w:val="009D7B49"/>
    <w:rsid w:val="009E157F"/>
    <w:rsid w:val="009E73FD"/>
    <w:rsid w:val="009F265F"/>
    <w:rsid w:val="009F5016"/>
    <w:rsid w:val="009F6B32"/>
    <w:rsid w:val="00A05B06"/>
    <w:rsid w:val="00A07BE3"/>
    <w:rsid w:val="00A11771"/>
    <w:rsid w:val="00A20994"/>
    <w:rsid w:val="00A255C2"/>
    <w:rsid w:val="00A376F5"/>
    <w:rsid w:val="00A43553"/>
    <w:rsid w:val="00A55A75"/>
    <w:rsid w:val="00A55C19"/>
    <w:rsid w:val="00A62B41"/>
    <w:rsid w:val="00A725DC"/>
    <w:rsid w:val="00A73AFA"/>
    <w:rsid w:val="00A821C6"/>
    <w:rsid w:val="00A8284B"/>
    <w:rsid w:val="00A8778B"/>
    <w:rsid w:val="00A91434"/>
    <w:rsid w:val="00A95167"/>
    <w:rsid w:val="00A976C3"/>
    <w:rsid w:val="00AA2B3B"/>
    <w:rsid w:val="00AA2BE0"/>
    <w:rsid w:val="00AA3905"/>
    <w:rsid w:val="00AA5A4E"/>
    <w:rsid w:val="00AB47A2"/>
    <w:rsid w:val="00AC2C98"/>
    <w:rsid w:val="00AD1654"/>
    <w:rsid w:val="00AD5446"/>
    <w:rsid w:val="00AE199C"/>
    <w:rsid w:val="00AE6407"/>
    <w:rsid w:val="00AE7281"/>
    <w:rsid w:val="00B03AD3"/>
    <w:rsid w:val="00B052CD"/>
    <w:rsid w:val="00B07D2D"/>
    <w:rsid w:val="00B10FC6"/>
    <w:rsid w:val="00B11A9D"/>
    <w:rsid w:val="00B11F7B"/>
    <w:rsid w:val="00B12169"/>
    <w:rsid w:val="00B12D9E"/>
    <w:rsid w:val="00B13081"/>
    <w:rsid w:val="00B1607C"/>
    <w:rsid w:val="00B17C91"/>
    <w:rsid w:val="00B21ADC"/>
    <w:rsid w:val="00B23950"/>
    <w:rsid w:val="00B2472A"/>
    <w:rsid w:val="00B30722"/>
    <w:rsid w:val="00B37BD1"/>
    <w:rsid w:val="00B4421F"/>
    <w:rsid w:val="00B512B6"/>
    <w:rsid w:val="00B5192F"/>
    <w:rsid w:val="00B6027C"/>
    <w:rsid w:val="00B60FC4"/>
    <w:rsid w:val="00B61D2B"/>
    <w:rsid w:val="00B64ECB"/>
    <w:rsid w:val="00B66F67"/>
    <w:rsid w:val="00B71D32"/>
    <w:rsid w:val="00B913CF"/>
    <w:rsid w:val="00B9297F"/>
    <w:rsid w:val="00B92EA8"/>
    <w:rsid w:val="00B96722"/>
    <w:rsid w:val="00BA29DB"/>
    <w:rsid w:val="00BA39E8"/>
    <w:rsid w:val="00BA444C"/>
    <w:rsid w:val="00BC0F3D"/>
    <w:rsid w:val="00BC11AA"/>
    <w:rsid w:val="00BC2570"/>
    <w:rsid w:val="00BD46C8"/>
    <w:rsid w:val="00BD5E15"/>
    <w:rsid w:val="00BF04E2"/>
    <w:rsid w:val="00BF2499"/>
    <w:rsid w:val="00BF4455"/>
    <w:rsid w:val="00C03A09"/>
    <w:rsid w:val="00C04BB6"/>
    <w:rsid w:val="00C106D7"/>
    <w:rsid w:val="00C11645"/>
    <w:rsid w:val="00C14F93"/>
    <w:rsid w:val="00C24760"/>
    <w:rsid w:val="00C26074"/>
    <w:rsid w:val="00C353D5"/>
    <w:rsid w:val="00C5014D"/>
    <w:rsid w:val="00C52ED0"/>
    <w:rsid w:val="00C54BC5"/>
    <w:rsid w:val="00C54FB2"/>
    <w:rsid w:val="00C7278B"/>
    <w:rsid w:val="00C749FE"/>
    <w:rsid w:val="00C75387"/>
    <w:rsid w:val="00C77CE3"/>
    <w:rsid w:val="00C83B0A"/>
    <w:rsid w:val="00C871A1"/>
    <w:rsid w:val="00C92162"/>
    <w:rsid w:val="00C94824"/>
    <w:rsid w:val="00CB2060"/>
    <w:rsid w:val="00CB4CFB"/>
    <w:rsid w:val="00CC3BFE"/>
    <w:rsid w:val="00CC3F7B"/>
    <w:rsid w:val="00CC7DB2"/>
    <w:rsid w:val="00CD0BD6"/>
    <w:rsid w:val="00CE09EF"/>
    <w:rsid w:val="00CE1E0C"/>
    <w:rsid w:val="00CE277E"/>
    <w:rsid w:val="00CE387D"/>
    <w:rsid w:val="00CE75E4"/>
    <w:rsid w:val="00CF0881"/>
    <w:rsid w:val="00CF146B"/>
    <w:rsid w:val="00CF7BD2"/>
    <w:rsid w:val="00D15D3E"/>
    <w:rsid w:val="00D1658A"/>
    <w:rsid w:val="00D31AD0"/>
    <w:rsid w:val="00D3333B"/>
    <w:rsid w:val="00D356AC"/>
    <w:rsid w:val="00D45E0D"/>
    <w:rsid w:val="00D4704F"/>
    <w:rsid w:val="00D56867"/>
    <w:rsid w:val="00D65C59"/>
    <w:rsid w:val="00D66629"/>
    <w:rsid w:val="00D72638"/>
    <w:rsid w:val="00D76329"/>
    <w:rsid w:val="00D84229"/>
    <w:rsid w:val="00D9632F"/>
    <w:rsid w:val="00DB68FA"/>
    <w:rsid w:val="00DB6E0E"/>
    <w:rsid w:val="00DC19FC"/>
    <w:rsid w:val="00DC6844"/>
    <w:rsid w:val="00DC7251"/>
    <w:rsid w:val="00DE5A74"/>
    <w:rsid w:val="00DF135C"/>
    <w:rsid w:val="00DF1849"/>
    <w:rsid w:val="00DF5C6C"/>
    <w:rsid w:val="00DF7CCC"/>
    <w:rsid w:val="00E02A7F"/>
    <w:rsid w:val="00E04433"/>
    <w:rsid w:val="00E076A2"/>
    <w:rsid w:val="00E07880"/>
    <w:rsid w:val="00E10BE9"/>
    <w:rsid w:val="00E17EDE"/>
    <w:rsid w:val="00E20CAE"/>
    <w:rsid w:val="00E20DE0"/>
    <w:rsid w:val="00E20E35"/>
    <w:rsid w:val="00E601F3"/>
    <w:rsid w:val="00E611F3"/>
    <w:rsid w:val="00E632FA"/>
    <w:rsid w:val="00E66936"/>
    <w:rsid w:val="00E753E6"/>
    <w:rsid w:val="00E75A19"/>
    <w:rsid w:val="00E82621"/>
    <w:rsid w:val="00E82AA9"/>
    <w:rsid w:val="00E85E2F"/>
    <w:rsid w:val="00E862F6"/>
    <w:rsid w:val="00E94312"/>
    <w:rsid w:val="00E974E0"/>
    <w:rsid w:val="00EB023B"/>
    <w:rsid w:val="00EB22EC"/>
    <w:rsid w:val="00EB2BD1"/>
    <w:rsid w:val="00EB353C"/>
    <w:rsid w:val="00EB75CD"/>
    <w:rsid w:val="00EC01EC"/>
    <w:rsid w:val="00ED0164"/>
    <w:rsid w:val="00ED33A1"/>
    <w:rsid w:val="00EE2F85"/>
    <w:rsid w:val="00EE53BC"/>
    <w:rsid w:val="00EF3A61"/>
    <w:rsid w:val="00F01BEC"/>
    <w:rsid w:val="00F030E4"/>
    <w:rsid w:val="00F12212"/>
    <w:rsid w:val="00F32376"/>
    <w:rsid w:val="00F370D1"/>
    <w:rsid w:val="00F37923"/>
    <w:rsid w:val="00F41F1B"/>
    <w:rsid w:val="00F44DBE"/>
    <w:rsid w:val="00F51B27"/>
    <w:rsid w:val="00F5233C"/>
    <w:rsid w:val="00F572D7"/>
    <w:rsid w:val="00F721D8"/>
    <w:rsid w:val="00F73B94"/>
    <w:rsid w:val="00F77C9A"/>
    <w:rsid w:val="00F865AB"/>
    <w:rsid w:val="00F9167B"/>
    <w:rsid w:val="00F9402A"/>
    <w:rsid w:val="00F942DA"/>
    <w:rsid w:val="00F9792E"/>
    <w:rsid w:val="00FA72DA"/>
    <w:rsid w:val="00FB2570"/>
    <w:rsid w:val="00FB576C"/>
    <w:rsid w:val="00FD2AA6"/>
    <w:rsid w:val="00FD5A2A"/>
    <w:rsid w:val="00FE0D00"/>
    <w:rsid w:val="00FE6260"/>
    <w:rsid w:val="00FE746B"/>
    <w:rsid w:val="00FE7E8A"/>
    <w:rsid w:val="00FF477D"/>
    <w:rsid w:val="02E66B31"/>
    <w:rsid w:val="03EE58AF"/>
    <w:rsid w:val="05D37841"/>
    <w:rsid w:val="06316315"/>
    <w:rsid w:val="064379C1"/>
    <w:rsid w:val="06E739F6"/>
    <w:rsid w:val="07921036"/>
    <w:rsid w:val="08626C5A"/>
    <w:rsid w:val="0D215336"/>
    <w:rsid w:val="0F340C24"/>
    <w:rsid w:val="0F4A7D3F"/>
    <w:rsid w:val="15DB580B"/>
    <w:rsid w:val="18A92224"/>
    <w:rsid w:val="19A2504A"/>
    <w:rsid w:val="19BE3706"/>
    <w:rsid w:val="1AD97324"/>
    <w:rsid w:val="1B310649"/>
    <w:rsid w:val="1BA004BA"/>
    <w:rsid w:val="1BAC7F86"/>
    <w:rsid w:val="1EB25FAB"/>
    <w:rsid w:val="21271E30"/>
    <w:rsid w:val="21FC4908"/>
    <w:rsid w:val="22A70FE7"/>
    <w:rsid w:val="230A3639"/>
    <w:rsid w:val="23A719FE"/>
    <w:rsid w:val="25901ED5"/>
    <w:rsid w:val="25AB3597"/>
    <w:rsid w:val="27EE2B60"/>
    <w:rsid w:val="28666C14"/>
    <w:rsid w:val="2A520044"/>
    <w:rsid w:val="2AE23476"/>
    <w:rsid w:val="2BBE1B4A"/>
    <w:rsid w:val="2E0A72C8"/>
    <w:rsid w:val="2E1B7727"/>
    <w:rsid w:val="2ECE6548"/>
    <w:rsid w:val="308675AA"/>
    <w:rsid w:val="316865D6"/>
    <w:rsid w:val="33025375"/>
    <w:rsid w:val="354D6418"/>
    <w:rsid w:val="36100676"/>
    <w:rsid w:val="37667C65"/>
    <w:rsid w:val="390E5EBF"/>
    <w:rsid w:val="3A266352"/>
    <w:rsid w:val="3AA97207"/>
    <w:rsid w:val="3B764009"/>
    <w:rsid w:val="3B854580"/>
    <w:rsid w:val="3BA713EC"/>
    <w:rsid w:val="3D5456C8"/>
    <w:rsid w:val="3E6E32C4"/>
    <w:rsid w:val="3F07204E"/>
    <w:rsid w:val="46957C1F"/>
    <w:rsid w:val="4820176A"/>
    <w:rsid w:val="4BEC1766"/>
    <w:rsid w:val="4C224BFA"/>
    <w:rsid w:val="4D07114B"/>
    <w:rsid w:val="4E572491"/>
    <w:rsid w:val="4F891FE9"/>
    <w:rsid w:val="50052A51"/>
    <w:rsid w:val="502C79A2"/>
    <w:rsid w:val="52133DDD"/>
    <w:rsid w:val="5336590A"/>
    <w:rsid w:val="55A5225D"/>
    <w:rsid w:val="55F67FAE"/>
    <w:rsid w:val="560125A1"/>
    <w:rsid w:val="56A3467A"/>
    <w:rsid w:val="5A522FD2"/>
    <w:rsid w:val="5B8706A6"/>
    <w:rsid w:val="5FA665BC"/>
    <w:rsid w:val="60387B56"/>
    <w:rsid w:val="60B847DE"/>
    <w:rsid w:val="60F1292E"/>
    <w:rsid w:val="62A10094"/>
    <w:rsid w:val="62D358FF"/>
    <w:rsid w:val="6A1C6093"/>
    <w:rsid w:val="6F5D71EF"/>
    <w:rsid w:val="71A35E97"/>
    <w:rsid w:val="755271FF"/>
    <w:rsid w:val="798F78E0"/>
    <w:rsid w:val="7E896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lock Text"/>
    <w:basedOn w:val="1"/>
    <w:qFormat/>
    <w:uiPriority w:val="99"/>
    <w:pPr>
      <w:widowControl/>
      <w:spacing w:before="100" w:beforeAutospacing="1" w:after="100" w:afterAutospacing="1"/>
      <w:jc w:val="left"/>
    </w:pPr>
    <w:rPr>
      <w:rFonts w:ascii="宋体" w:hAnsi="宋体" w:cs="宋体"/>
      <w:kern w:val="0"/>
      <w:sz w:val="24"/>
    </w:rPr>
  </w:style>
  <w:style w:type="paragraph" w:styleId="4">
    <w:name w:val="Date"/>
    <w:basedOn w:val="1"/>
    <w:next w:val="1"/>
    <w:link w:val="15"/>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semiHidden/>
    <w:unhideWhenUsed/>
    <w:qFormat/>
    <w:uiPriority w:val="99"/>
    <w:rPr>
      <w:b/>
      <w:bCs/>
    </w:rPr>
  </w:style>
  <w:style w:type="table" w:styleId="10">
    <w:name w:val="Table Grid"/>
    <w:basedOn w:val="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unhideWhenUsed/>
    <w:qFormat/>
    <w:uiPriority w:val="99"/>
    <w:rPr>
      <w:sz w:val="21"/>
      <w:szCs w:val="21"/>
    </w:rPr>
  </w:style>
  <w:style w:type="character" w:customStyle="1" w:styleId="14">
    <w:name w:val="highlight"/>
    <w:basedOn w:val="11"/>
    <w:qFormat/>
    <w:uiPriority w:val="0"/>
  </w:style>
  <w:style w:type="character" w:customStyle="1" w:styleId="15">
    <w:name w:val="日期 Char"/>
    <w:link w:val="4"/>
    <w:semiHidden/>
    <w:qFormat/>
    <w:uiPriority w:val="99"/>
    <w:rPr>
      <w:kern w:val="2"/>
      <w:sz w:val="21"/>
      <w:szCs w:val="24"/>
    </w:rPr>
  </w:style>
  <w:style w:type="character" w:customStyle="1" w:styleId="16">
    <w:name w:val="页脚 Char"/>
    <w:link w:val="6"/>
    <w:qFormat/>
    <w:uiPriority w:val="99"/>
    <w:rPr>
      <w:kern w:val="2"/>
      <w:sz w:val="18"/>
      <w:szCs w:val="18"/>
    </w:rPr>
  </w:style>
  <w:style w:type="character" w:customStyle="1" w:styleId="17">
    <w:name w:val="批注文字 Char"/>
    <w:link w:val="2"/>
    <w:semiHidden/>
    <w:qFormat/>
    <w:uiPriority w:val="99"/>
    <w:rPr>
      <w:kern w:val="2"/>
      <w:sz w:val="21"/>
      <w:szCs w:val="24"/>
    </w:rPr>
  </w:style>
  <w:style w:type="character" w:customStyle="1" w:styleId="18">
    <w:name w:val="页眉 Char"/>
    <w:link w:val="7"/>
    <w:semiHidden/>
    <w:qFormat/>
    <w:uiPriority w:val="99"/>
    <w:rPr>
      <w:kern w:val="2"/>
      <w:sz w:val="18"/>
      <w:szCs w:val="18"/>
    </w:rPr>
  </w:style>
  <w:style w:type="character" w:customStyle="1" w:styleId="19">
    <w:name w:val="批注框文本 Char"/>
    <w:link w:val="5"/>
    <w:semiHidden/>
    <w:qFormat/>
    <w:uiPriority w:val="99"/>
    <w:rPr>
      <w:kern w:val="2"/>
      <w:sz w:val="18"/>
      <w:szCs w:val="18"/>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批注主题 Char"/>
    <w:basedOn w:val="17"/>
    <w:link w:val="8"/>
    <w:semiHidden/>
    <w:qFormat/>
    <w:uiPriority w:val="99"/>
    <w:rPr>
      <w:b/>
      <w:bCs/>
      <w:kern w:val="2"/>
      <w:sz w:val="21"/>
      <w:szCs w:val="24"/>
    </w:rPr>
  </w:style>
  <w:style w:type="character" w:customStyle="1" w:styleId="22">
    <w:name w:val="fontstyle01"/>
    <w:basedOn w:val="11"/>
    <w:qFormat/>
    <w:uiPriority w:val="0"/>
    <w:rPr>
      <w:rFonts w:hint="default" w:ascii="FzBookMaker7DlFont70536871171" w:hAnsi="FzBookMaker7DlFont70536871171"/>
      <w:color w:val="000000"/>
      <w:sz w:val="20"/>
      <w:szCs w:val="20"/>
    </w:rPr>
  </w:style>
  <w:style w:type="character" w:customStyle="1" w:styleId="23">
    <w:name w:val="fontstyle11"/>
    <w:basedOn w:val="11"/>
    <w:qFormat/>
    <w:uiPriority w:val="0"/>
    <w:rPr>
      <w:rFonts w:hint="default" w:ascii="FzBookMaker11DlFont110536871175" w:hAnsi="FzBookMaker11DlFont110536871175"/>
      <w:color w:val="000000"/>
      <w:sz w:val="20"/>
      <w:szCs w:val="20"/>
    </w:rPr>
  </w:style>
  <w:style w:type="character" w:customStyle="1" w:styleId="24">
    <w:name w:val="fontstyle21"/>
    <w:basedOn w:val="11"/>
    <w:qFormat/>
    <w:uiPriority w:val="0"/>
    <w:rPr>
      <w:rFonts w:hint="default" w:ascii="FzBookMaker2DlFont20536871173" w:hAnsi="FzBookMaker2DlFont20536871173"/>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6D01C-C50B-4249-BC46-2BAFADA7DD65}">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174</Words>
  <Characters>997</Characters>
  <Lines>8</Lines>
  <Paragraphs>2</Paragraphs>
  <TotalTime>34</TotalTime>
  <ScaleCrop>false</ScaleCrop>
  <LinksUpToDate>false</LinksUpToDate>
  <CharactersWithSpaces>1169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2021-03-26T11:29:00Z</dcterms:created>
  <dc:creator>Legend User</dc:creator>
  <cp:lastModifiedBy>龙啸</cp:lastModifiedBy>
  <cp:lastPrinted>2023-10-29T04:16:00Z</cp:lastPrinted>
  <dcterms:modified xsi:type="dcterms:W3CDTF">2023-10-30T04:07:05Z</dcterms:modified>
  <dc:title>××产品质量监督抽查实施细则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0A6996B5029F459AA0B185F040F0720F</vt:lpwstr>
  </property>
  <property fmtid="{D5CDD505-2E9C-101B-9397-08002B2CF9AE}" pid="4" name="commondata">
    <vt:lpwstr>eyJoZGlkIjoiYTQ3NTQyZmJmYzIyOTQ1MmE5NGM5ODkyNzQ0MmUxMmIifQ==</vt:lpwstr>
  </property>
</Properties>
</file>