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烟花爆竹经营（零售）许可办理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烟花爆竹经营许可实施办法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安监总局令第65号）第三条、第五条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二、承办科室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新疆生产建设兵团第六师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五家渠市</w:t>
      </w:r>
      <w:r>
        <w:rPr>
          <w:rFonts w:ascii="Times New Roman" w:hAnsi="Times New Roman" w:eastAsia="仿宋_GB2312"/>
          <w:sz w:val="32"/>
          <w:szCs w:val="32"/>
        </w:rPr>
        <w:t>应急管理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综合行政执法支队一大队（危化办）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师市行政区域内的烟花爆竹零售店（点）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从事烟花爆竹零售经营的单位，基本条件应当符合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烟花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爆竹经营许可实施办法</w:t>
      </w:r>
      <w:r>
        <w:rPr>
          <w:rFonts w:ascii="Times New Roman" w:hAnsi="Times New Roman" w:eastAsia="仿宋_GB2312"/>
          <w:spacing w:val="-6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安监总局令第65号）第十六条的要求。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pacing w:val="6"/>
          <w:sz w:val="32"/>
          <w:szCs w:val="32"/>
          <w:lang w:val="en-US" w:eastAsia="zh-CN"/>
        </w:rPr>
        <w:t>《烟花爆竹经营（零售）许可证申请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/>
          <w:spacing w:val="6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申请书、属地意见书；从业人员</w:t>
      </w:r>
      <w:r>
        <w:rPr>
          <w:rFonts w:hint="default" w:ascii="Times New Roman" w:hAnsi="Times New Roman" w:eastAsia="仿宋_GB2312"/>
          <w:spacing w:val="6"/>
          <w:sz w:val="32"/>
          <w:szCs w:val="32"/>
          <w:lang w:val="en-US" w:eastAsia="zh-CN"/>
        </w:rPr>
        <w:t>安全培训考核合格复印件；零售店周边安全条件说明（平面示意图或实测图）；零售场所的房产证明或租赁协议书；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从业人员保险单；供货单位经营许可证、销售协议书；</w:t>
      </w:r>
      <w:r>
        <w:rPr>
          <w:rFonts w:hint="default" w:ascii="Times New Roman" w:hAnsi="Times New Roman" w:eastAsia="仿宋_GB2312"/>
          <w:spacing w:val="6"/>
          <w:sz w:val="32"/>
          <w:szCs w:val="32"/>
          <w:lang w:val="en-US" w:eastAsia="zh-CN"/>
        </w:rPr>
        <w:t>工商营业执照副本复印件或工商行政管理部门核发的《企业名称预先核准通知书》复印件；岗位责任制、安全管理制度和操作规程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1.受理：对申请人通过“线上”（“新疆生产建设兵团政务服务网”）或“线下”（</w:t>
      </w:r>
      <w:r>
        <w:rPr>
          <w:rFonts w:ascii="Times New Roman" w:hAnsi="Times New Roman" w:eastAsia="仿宋_GB2312"/>
          <w:sz w:val="32"/>
          <w:szCs w:val="32"/>
        </w:rPr>
        <w:t>五家渠市长征东街1303号行政综合楼政务服务中心大厅二楼12号综合代办窗口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）提交的申请材料，依据岗位职责进行预审核受理。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2.审查：在规定期限内对申请人提交的申请材料进行审查（根据法定条件和程序，需要对申请材料的实质内容进行核实的，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行政机关应当指派两名以上工作人员进行核查），并出具审查意见。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3.决定：根据审查意见，在法定期限内按照《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第六师五家渠市应急管理局行政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工作流程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》程序作出行政许可决定。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4.办结：行政机关依法作出予以行政许可书面决定的，向申请人颁发加盖本行政机关印章的行政许可证件。行政机关依法作出不予行政许可的书面决定的，应当说明理由，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并告知申请人享有依法申请行政复议或者提起行政诉讼的权利。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5.送达：在规定期限内，向申请人颁发、送达行政许可证件。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七、服务时限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法定时限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承诺时限：4个工作日（</w:t>
      </w:r>
      <w:r>
        <w:rPr>
          <w:rFonts w:ascii="Times New Roman" w:hAnsi="Times New Roman" w:eastAsia="仿宋_GB2312"/>
          <w:sz w:val="32"/>
          <w:szCs w:val="32"/>
        </w:rPr>
        <w:t>不含国家法定节假日和现场核查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补正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问题隐患</w:t>
      </w:r>
      <w:r>
        <w:rPr>
          <w:rFonts w:ascii="Times New Roman" w:hAnsi="Times New Roman" w:eastAsia="仿宋_GB2312"/>
          <w:sz w:val="32"/>
          <w:szCs w:val="32"/>
        </w:rPr>
        <w:t>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八、收费依据及标准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九、咨询方式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0994-5800540   15199370688   13201000418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附件：4-1.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《烟花爆竹经营（零售）许可证》申请资料模版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4-2.办事流程图</w:t>
      </w: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附件4-1：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《烟花爆竹经营（零售）许可证》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申请资料模版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一、《烟花爆竹经营（零售）许可证申请表》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</w:p>
          <w:tbl>
            <w:tblPr>
              <w:tblStyle w:val="4"/>
              <w:tblW w:w="0" w:type="auto"/>
              <w:tblInd w:w="92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5"/>
              <w:gridCol w:w="43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6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eastAsia" w:ascii="Times New Roman" w:hAnsi="Times New Roman"/>
                      <w:sz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</w:rPr>
                    <w:t>申请编号</w:t>
                  </w:r>
                  <w:r>
                    <w:rPr>
                      <w:rFonts w:hint="eastAsia" w:ascii="Times New Roman" w:hAnsi="Times New Roman"/>
                      <w:sz w:val="28"/>
                      <w:lang w:eastAsia="zh-CN"/>
                    </w:rPr>
                    <w:t>：</w:t>
                  </w:r>
                </w:p>
              </w:tc>
              <w:tc>
                <w:tcPr>
                  <w:tcW w:w="4456" w:type="dxa"/>
                  <w:noWrap w:val="0"/>
                  <w:vAlign w:val="top"/>
                </w:tcPr>
                <w:p>
                  <w:pPr>
                    <w:ind w:firstLine="1120" w:firstLineChars="400"/>
                    <w:rPr>
                      <w:rFonts w:hint="eastAsia" w:ascii="Times New Roman" w:hAnsi="Times New Roman"/>
                      <w:sz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</w:rPr>
                    <w:t>受理编号</w:t>
                  </w:r>
                  <w:r>
                    <w:rPr>
                      <w:rFonts w:hint="eastAsia" w:ascii="Times New Roman" w:hAnsi="Times New Roman"/>
                      <w:sz w:val="28"/>
                      <w:lang w:eastAsia="zh-CN"/>
                    </w:rPr>
                    <w:t>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26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eastAsia" w:ascii="Times New Roman" w:hAnsi="Times New Roman"/>
                      <w:sz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</w:rPr>
                    <w:t>申请日期</w:t>
                  </w:r>
                  <w:r>
                    <w:rPr>
                      <w:rFonts w:hint="eastAsia" w:ascii="Times New Roman" w:hAnsi="Times New Roman"/>
                      <w:sz w:val="28"/>
                      <w:lang w:eastAsia="zh-CN"/>
                    </w:rPr>
                    <w:t>：</w:t>
                  </w:r>
                </w:p>
              </w:tc>
              <w:tc>
                <w:tcPr>
                  <w:tcW w:w="4456" w:type="dxa"/>
                  <w:noWrap w:val="0"/>
                  <w:vAlign w:val="top"/>
                </w:tcPr>
                <w:p>
                  <w:pPr>
                    <w:ind w:firstLine="1120" w:firstLineChars="400"/>
                    <w:rPr>
                      <w:rFonts w:hint="eastAsia" w:ascii="Times New Roman" w:hAnsi="Times New Roman"/>
                      <w:sz w:val="28"/>
                    </w:rPr>
                  </w:pPr>
                  <w:r>
                    <w:rPr>
                      <w:rFonts w:hint="eastAsia" w:ascii="Times New Roman" w:hAnsi="Times New Roman"/>
                      <w:sz w:val="28"/>
                    </w:rPr>
                    <w:t>受理日期</w:t>
                  </w:r>
                  <w:r>
                    <w:rPr>
                      <w:rFonts w:hint="eastAsia" w:ascii="Times New Roman" w:hAnsi="Times New Roman"/>
                      <w:sz w:val="28"/>
                      <w:lang w:eastAsia="zh-CN"/>
                    </w:rPr>
                    <w:t>：</w:t>
                  </w: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黑体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sz w:val="36"/>
                <w:szCs w:val="36"/>
              </w:rPr>
              <w:t>烟 花 爆 竹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52"/>
              </w:rPr>
            </w:pPr>
            <w:r>
              <w:rPr>
                <w:rFonts w:hint="eastAsia" w:ascii="Times New Roman" w:hAnsi="Times New Roman" w:eastAsia="黑体"/>
                <w:sz w:val="52"/>
              </w:rPr>
              <w:t>经 营（零售）许 可 证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6"/>
              </w:rPr>
            </w:pPr>
            <w:r>
              <w:rPr>
                <w:rFonts w:hint="eastAsia" w:ascii="Times New Roman" w:hAnsi="Times New Roman" w:eastAsia="黑体"/>
                <w:sz w:val="52"/>
              </w:rPr>
              <w:t>申  请  书</w:t>
            </w:r>
          </w:p>
          <w:tbl>
            <w:tblPr>
              <w:tblStyle w:val="4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512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9" w:type="dxa"/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distribute"/>
                    <w:rPr>
                      <w:rFonts w:hint="eastAsia" w:ascii="Times New Roman" w:hAnsi="Times New Roman" w:eastAsia="黑体"/>
                      <w:sz w:val="32"/>
                      <w:szCs w:val="32"/>
                      <w:bdr w:val="single" w:color="auto" w:sz="36" w:space="0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  <w:t>单位名称</w:t>
                  </w:r>
                </w:p>
              </w:tc>
              <w:tc>
                <w:tcPr>
                  <w:tcW w:w="5124" w:type="dxa"/>
                  <w:tcBorders>
                    <w:bottom w:val="single" w:color="auto" w:sz="2" w:space="0"/>
                  </w:tcBorders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center"/>
                    <w:rPr>
                      <w:rFonts w:hint="default" w:ascii="Times New Roman" w:hAnsi="Times New Roman" w:eastAsia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  <w:lang w:val="en-US" w:eastAsia="zh-CN"/>
                    </w:rPr>
                    <w:t>Xx公司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9" w:type="dxa"/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distribute"/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  <w:t>经 办 人</w:t>
                  </w:r>
                </w:p>
              </w:tc>
              <w:tc>
                <w:tcPr>
                  <w:tcW w:w="5124" w:type="dxa"/>
                  <w:tcBorders>
                    <w:bottom w:val="single" w:color="auto" w:sz="2" w:space="0"/>
                  </w:tcBorders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center"/>
                    <w:rPr>
                      <w:rFonts w:hint="default" w:ascii="Times New Roman" w:hAnsi="Times New Roman" w:eastAsia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  <w:lang w:val="en-US" w:eastAsia="zh-CN"/>
                    </w:rPr>
                    <w:t>李xx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9" w:type="dxa"/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distribute"/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  <w:t>联系电话</w:t>
                  </w:r>
                </w:p>
              </w:tc>
              <w:tc>
                <w:tcPr>
                  <w:tcW w:w="5124" w:type="dxa"/>
                  <w:tcBorders>
                    <w:top w:val="single" w:color="auto" w:sz="2" w:space="0"/>
                    <w:bottom w:val="single" w:color="auto" w:sz="2" w:space="0"/>
                  </w:tcBorders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center"/>
                    <w:rPr>
                      <w:rFonts w:hint="eastAsia" w:ascii="Times New Roman" w:hAnsi="Times New Roman" w:eastAsia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  <w:lang w:val="en-US" w:eastAsia="zh-CN"/>
                    </w:rPr>
                    <w:t>Xxx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9" w:type="dxa"/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distribute"/>
                    <w:rPr>
                      <w:rFonts w:hint="eastAsia" w:ascii="Times New Roman" w:hAnsi="Times New Roman" w:eastAsia="黑体"/>
                      <w:sz w:val="32"/>
                      <w:szCs w:val="32"/>
                      <w:bdr w:val="single" w:color="auto" w:sz="36" w:space="0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</w:rPr>
                    <w:t>填写日期</w:t>
                  </w:r>
                </w:p>
              </w:tc>
              <w:tc>
                <w:tcPr>
                  <w:tcW w:w="5124" w:type="dxa"/>
                  <w:tcBorders>
                    <w:top w:val="single" w:color="auto" w:sz="2" w:space="0"/>
                    <w:bottom w:val="single" w:color="auto" w:sz="2" w:space="0"/>
                  </w:tcBorders>
                  <w:noWrap w:val="0"/>
                  <w:vAlign w:val="center"/>
                </w:tcPr>
                <w:p>
                  <w:pPr>
                    <w:spacing w:before="102" w:beforeLines="25" w:after="102" w:afterLines="25"/>
                    <w:jc w:val="center"/>
                    <w:rPr>
                      <w:rFonts w:hint="default" w:ascii="Times New Roman" w:hAnsi="Times New Roman" w:eastAsia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sz w:val="32"/>
                      <w:szCs w:val="32"/>
                      <w:lang w:val="en-US" w:eastAsia="zh-CN"/>
                    </w:rPr>
                    <w:t>x年x月x日</w:t>
                  </w:r>
                </w:p>
              </w:tc>
            </w:tr>
          </w:tbl>
          <w:p>
            <w:pPr>
              <w:jc w:val="center"/>
              <w:rPr>
                <w:rFonts w:hint="eastAsia" w:ascii="Times New Roman" w:hAnsi="Times New Roman"/>
                <w:b/>
                <w:bCs/>
                <w:sz w:val="32"/>
                <w:vertAlign w:val="baseline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第六师五家渠市应急管理局制样</w:t>
            </w:r>
          </w:p>
        </w:tc>
      </w:tr>
    </w:tbl>
    <w:tbl>
      <w:tblPr>
        <w:tblStyle w:val="4"/>
        <w:tblpPr w:leftFromText="180" w:rightFromText="180" w:vertAnchor="text" w:horzAnchor="page" w:tblpX="1581" w:tblpY="48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70"/>
        <w:gridCol w:w="456"/>
        <w:gridCol w:w="876"/>
        <w:gridCol w:w="575"/>
        <w:gridCol w:w="834"/>
        <w:gridCol w:w="456"/>
        <w:gridCol w:w="900"/>
        <w:gridCol w:w="321"/>
        <w:gridCol w:w="533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单位名称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Xx公司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主要负责人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李xx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注册地址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五家渠xx团场xx路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邮政编码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仓储设施地址</w:t>
            </w:r>
          </w:p>
        </w:tc>
        <w:tc>
          <w:tcPr>
            <w:tcW w:w="72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经 济 类 型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注册资本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snapToGrid w:val="0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联系电话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Xxx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传真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单位网址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电子信箱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工商注册号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Xxx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登记日期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27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登记机关</w:t>
            </w:r>
          </w:p>
        </w:tc>
        <w:tc>
          <w:tcPr>
            <w:tcW w:w="723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第六师市场监督管理局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27" w:type="dxa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固定资产总值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 xml:space="preserve">  Xx</w:t>
            </w:r>
            <w:r>
              <w:rPr>
                <w:rFonts w:hint="eastAsia" w:ascii="Times New Roman" w:hAnsi="Times New Roman"/>
                <w:snapToGrid w:val="0"/>
              </w:rPr>
              <w:t>万元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销 售 额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napToGrid w:val="0"/>
              </w:rPr>
              <w:t>万元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出 口 额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27" w:type="dxa"/>
            <w:vMerge w:val="restart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从业人员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napToGrid w:val="0"/>
              </w:rPr>
              <w:t>人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其中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snapToGrid w:val="0"/>
                <w:sz w:val="21"/>
                <w:szCs w:val="21"/>
              </w:rPr>
              <w:t>安全管理人员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>x</w:t>
            </w:r>
            <w:r>
              <w:rPr>
                <w:rFonts w:hint="eastAsia" w:ascii="Times New Roman" w:hAnsi="Times New Roman"/>
                <w:snapToGrid w:val="0"/>
              </w:rPr>
              <w:t>人</w:t>
            </w: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运输车辆</w:t>
            </w:r>
          </w:p>
        </w:tc>
        <w:tc>
          <w:tcPr>
            <w:tcW w:w="912" w:type="dxa"/>
            <w:vMerge w:val="restart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7" w:type="dxa"/>
            <w:vMerge w:val="continue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snapToGrid w:val="0"/>
                <w:sz w:val="21"/>
                <w:szCs w:val="21"/>
              </w:rPr>
              <w:t>仓库保管和守护人员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人</w:t>
            </w: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827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申请</w:t>
            </w:r>
          </w:p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经营范围</w:t>
            </w: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烟花类[  ]</w:t>
            </w: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产品分级</w:t>
            </w:r>
          </w:p>
        </w:tc>
        <w:tc>
          <w:tcPr>
            <w:tcW w:w="39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A[   ]  B[   ]  C[   ]  D[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82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爆竹类[  ]</w:t>
            </w: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产品分级</w:t>
            </w:r>
          </w:p>
        </w:tc>
        <w:tc>
          <w:tcPr>
            <w:tcW w:w="39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B[   ]  C[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82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</w:p>
        </w:tc>
        <w:tc>
          <w:tcPr>
            <w:tcW w:w="723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烟火药[   ]   黑火药[   ]   引火线[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827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申请意见</w:t>
            </w:r>
          </w:p>
        </w:tc>
        <w:tc>
          <w:tcPr>
            <w:tcW w:w="7233" w:type="dxa"/>
            <w:gridSpan w:val="10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本单位符合《烟花爆竹经营许可实施办法》第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条规定条件，并对以上情况和所提供文件、资料的真实性负责，申请办理烟花爆竹经营（零售）许可证。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>主要负责人</w:t>
            </w:r>
            <w:r>
              <w:rPr>
                <w:rFonts w:hint="eastAsia" w:ascii="Times New Roman" w:hAnsi="Times New Roman"/>
                <w:snapToGrid w:val="0"/>
                <w:lang w:eastAsia="zh-CN"/>
              </w:rPr>
              <w:t>（</w:t>
            </w:r>
            <w:r>
              <w:rPr>
                <w:rFonts w:hint="eastAsia" w:ascii="Times New Roman" w:hAnsi="Times New Roman"/>
                <w:snapToGrid w:val="0"/>
              </w:rPr>
              <w:t>签字</w:t>
            </w:r>
            <w:r>
              <w:rPr>
                <w:rFonts w:hint="eastAsia" w:ascii="Times New Roman" w:hAnsi="Times New Roman"/>
                <w:snapToGrid w:val="0"/>
                <w:lang w:eastAsia="zh-CN"/>
              </w:rPr>
              <w:t>）</w:t>
            </w:r>
            <w:r>
              <w:rPr>
                <w:rFonts w:hint="eastAsia" w:ascii="Times New Roman" w:hAnsi="Times New Roman"/>
                <w:snapToGrid w:val="0"/>
              </w:rPr>
              <w:t>：</w:t>
            </w: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napToGrid w:val="0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05" w:afterLines="50" w:line="560" w:lineRule="exact"/>
              <w:ind w:firstLine="840" w:firstLineChars="400"/>
              <w:jc w:val="both"/>
              <w:textAlignment w:val="auto"/>
              <w:rPr>
                <w:rFonts w:hint="eastAsia" w:ascii="Times New Roman" w:hAnsi="Times New Roman"/>
                <w:snapToGrid w:val="0"/>
              </w:rPr>
            </w:pPr>
            <w:r>
              <w:rPr>
                <w:rFonts w:hint="eastAsia" w:ascii="Times New Roman" w:hAnsi="Times New Roman"/>
                <w:snapToGrid w:val="0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napToGrid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napToGrid w:val="0"/>
              </w:rPr>
              <w:t>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关于办理《烟花爆竹经营（零售）许可证》的申请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现有xx烟花爆竹零售店，具备《烟花爆竹经营许可证实施办法》第十六条相关要求，现申请办理《烟花爆竹经营（零售）许可证》。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Xx烟花爆竹零售店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0" w:firstLineChars="2000"/>
              <w:jc w:val="lef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三、属地意见书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关于xx烟花爆竹零售店办理《烟花爆竹经营（零售）许可证》的初步审查意见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有xx烟花爆竹零售店，依据《烟花爆竹经营许可证实施办法》，x年x月x日师市应急管理局组织专家对该店安全条件现场核查，提出书面核查意见并确认通过，现场问题已整改完成，由我办复查确认整改完毕。现企业提交资料申请出具《烟花爆竹经营（零售）许可证》。经审查，企业提交资料符合《烟花爆竹经营许可证实施办法》的要求，同意出具《烟花爆竹经营（零售）许可证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请上级部门予以审查。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团场经发办（盖章）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四、从业人员安全培训考核合格复印件；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五、零售店周边安全条件说明（平面示意图或实测图）；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六、零售场所的房产证明或租赁协议书；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七、从业人员保险单；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八、供货单位经营许可证、销售协议书；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九、工商营业执照副本复印件或工商行政管理部门核发的《企业名称预先核准通知书》复印件；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十、岗位责任制、安全管理制度和操作规程清单。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Times New Roman" w:hAnsi="Times New Roman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附件4-2：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2407285</wp:posOffset>
            </wp:positionV>
            <wp:extent cx="5610860" cy="5124450"/>
            <wp:effectExtent l="0" t="0" r="0" b="0"/>
            <wp:wrapTopAndBottom/>
            <wp:docPr id="8" name="ECB019B1-382A-4266-B25C-5B523AA43C14-3" descr="C:/Users/Lenovo/AppData/Local/Temp/wps.DNIFH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B019B1-382A-4266-B25C-5B523AA43C14-3" descr="C:/Users/Lenovo/AppData/Local/Temp/wps.DNIFHO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办事流程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</w:docVars>
  <w:rsids>
    <w:rsidRoot w:val="00000000"/>
    <w:rsid w:val="443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2024-03-21T08:31:39Z</dcterms:created>
  <dc:creator>Administrator</dc:creator>
  <cp:lastModifiedBy>安之若素</cp:lastModifiedBy>
  <dcterms:modified xsi:type="dcterms:W3CDTF">2024-03-21T08:33:02Z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EA801C6A377E4B11A76AB6F395FDAA62_12</vt:lpwstr>
  </property>
</Properties>
</file>