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CC5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14:paraId="0FEE7F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p>
    <w:p w14:paraId="7238CD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关于核定五家渠市城市市政公用基础设施配套费征收基数的通知</w:t>
      </w:r>
    </w:p>
    <w:bookmarkEnd w:id="0"/>
    <w:p w14:paraId="78AC57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（征求意见稿）</w:t>
      </w:r>
    </w:p>
    <w:p w14:paraId="220F786D">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_GB2312"/>
          <w:color w:val="000000"/>
          <w:kern w:val="0"/>
          <w:sz w:val="32"/>
          <w:szCs w:val="32"/>
        </w:rPr>
      </w:pPr>
    </w:p>
    <w:p w14:paraId="52EF38A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eastAsia="仿宋_GB2312"/>
          <w:color w:val="000000"/>
          <w:kern w:val="0"/>
          <w:sz w:val="32"/>
          <w:szCs w:val="32"/>
        </w:rPr>
      </w:pPr>
      <w:r>
        <w:rPr>
          <w:rFonts w:eastAsia="仿宋_GB2312"/>
          <w:color w:val="000000"/>
          <w:kern w:val="0"/>
          <w:sz w:val="32"/>
          <w:szCs w:val="32"/>
        </w:rPr>
        <w:t>市政府各部门</w:t>
      </w:r>
      <w:r>
        <w:rPr>
          <w:rFonts w:hint="eastAsia" w:eastAsia="仿宋_GB2312"/>
          <w:color w:val="000000"/>
          <w:kern w:val="0"/>
          <w:sz w:val="32"/>
          <w:szCs w:val="32"/>
          <w:lang w:eastAsia="zh-CN"/>
        </w:rPr>
        <w:t>，团（镇）经发办，经开区管委会，各建设单位</w:t>
      </w:r>
      <w:r>
        <w:rPr>
          <w:rFonts w:eastAsia="仿宋_GB2312"/>
          <w:color w:val="000000"/>
          <w:kern w:val="0"/>
          <w:sz w:val="32"/>
          <w:szCs w:val="32"/>
        </w:rPr>
        <w:t>：</w:t>
      </w:r>
    </w:p>
    <w:p w14:paraId="54437F26">
      <w:pPr>
        <w:keepNext w:val="0"/>
        <w:keepLines w:val="0"/>
        <w:pageBreakBefore w:val="0"/>
        <w:widowControl/>
        <w:kinsoku/>
        <w:wordWrap/>
        <w:overflowPunct/>
        <w:topLinePunct w:val="0"/>
        <w:autoSpaceDE/>
        <w:autoSpaceDN/>
        <w:bidi w:val="0"/>
        <w:adjustRightInd/>
        <w:snapToGrid/>
        <w:spacing w:line="560" w:lineRule="exact"/>
        <w:ind w:firstLine="624"/>
        <w:jc w:val="both"/>
        <w:textAlignment w:val="auto"/>
        <w:rPr>
          <w:rFonts w:hint="default" w:ascii="Times New Roman" w:hAnsi="Times New Roman" w:eastAsia="仿宋_GB2312" w:cs="Times New Roman"/>
          <w:color w:val="000000"/>
          <w:kern w:val="0"/>
          <w:sz w:val="32"/>
          <w:szCs w:val="32"/>
        </w:rPr>
      </w:pPr>
      <w:r>
        <w:rPr>
          <w:rFonts w:eastAsia="仿宋_GB2312"/>
          <w:color w:val="000000"/>
          <w:kern w:val="0"/>
          <w:sz w:val="32"/>
          <w:szCs w:val="32"/>
        </w:rPr>
        <w:t>根据</w:t>
      </w:r>
      <w:r>
        <w:rPr>
          <w:rFonts w:hint="eastAsia" w:eastAsia="仿宋_GB2312"/>
          <w:color w:val="000000"/>
          <w:kern w:val="0"/>
          <w:sz w:val="32"/>
          <w:szCs w:val="32"/>
          <w:lang w:eastAsia="zh-CN"/>
        </w:rPr>
        <w:t>自治区人民政府办公厅</w:t>
      </w:r>
      <w:r>
        <w:rPr>
          <w:rFonts w:hint="eastAsia" w:ascii="Times New Roman" w:hAnsi="Times New Roman" w:eastAsia="仿宋_GB2312" w:cs="Times New Roman"/>
          <w:sz w:val="32"/>
          <w:szCs w:val="32"/>
          <w:lang w:val="en-US" w:eastAsia="zh-CN"/>
        </w:rPr>
        <w:t>《关于印发</w:t>
      </w:r>
      <w:r>
        <w:rPr>
          <w:rFonts w:hint="default" w:ascii="Times New Roman" w:hAnsi="Times New Roman" w:eastAsia="仿宋_GB2312" w:cs="Times New Roman"/>
          <w:sz w:val="32"/>
          <w:szCs w:val="32"/>
          <w:lang w:val="en-US" w:eastAsia="zh-CN"/>
        </w:rPr>
        <w:t>&lt;</w:t>
      </w:r>
      <w:r>
        <w:rPr>
          <w:rFonts w:hint="eastAsia" w:ascii="Times New Roman" w:hAnsi="Times New Roman" w:eastAsia="仿宋_GB2312" w:cs="Times New Roman"/>
          <w:sz w:val="32"/>
          <w:szCs w:val="32"/>
          <w:lang w:val="en-US" w:eastAsia="zh-CN"/>
        </w:rPr>
        <w:t>新疆维吾尔自治区城市市政公用基础设施配套费征收使用管理办法</w:t>
      </w:r>
      <w:r>
        <w:rPr>
          <w:rFonts w:hint="default" w:ascii="Times New Roman" w:hAnsi="Times New Roman" w:eastAsia="仿宋_GB2312" w:cs="Times New Roman"/>
          <w:sz w:val="32"/>
          <w:szCs w:val="32"/>
          <w:lang w:val="en-US" w:eastAsia="zh-CN"/>
        </w:rPr>
        <w:t>&gt;</w:t>
      </w:r>
      <w:r>
        <w:rPr>
          <w:rFonts w:hint="eastAsia" w:ascii="Times New Roman" w:hAnsi="Times New Roman" w:eastAsia="仿宋_GB2312" w:cs="Times New Roman"/>
          <w:sz w:val="32"/>
          <w:szCs w:val="32"/>
          <w:lang w:val="en-US" w:eastAsia="zh-CN"/>
        </w:rPr>
        <w:t>的通知》（新政办发〔</w:t>
      </w:r>
      <w:r>
        <w:rPr>
          <w:rFonts w:hint="default"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val="en-US" w:eastAsia="zh-CN"/>
        </w:rPr>
        <w:t>号）</w:t>
      </w:r>
      <w:r>
        <w:rPr>
          <w:rFonts w:eastAsia="仿宋_GB2312"/>
          <w:color w:val="000000"/>
          <w:kern w:val="0"/>
          <w:sz w:val="32"/>
          <w:szCs w:val="32"/>
        </w:rPr>
        <w:t>规定，配套费按新建、扩建工程总投资的3%收取</w:t>
      </w:r>
      <w:r>
        <w:rPr>
          <w:rFonts w:hint="eastAsia" w:eastAsia="仿宋_GB2312"/>
          <w:color w:val="000000"/>
          <w:kern w:val="0"/>
          <w:sz w:val="32"/>
          <w:szCs w:val="32"/>
          <w:lang w:eastAsia="zh-CN"/>
        </w:rPr>
        <w:t>，</w:t>
      </w:r>
      <w:r>
        <w:rPr>
          <w:rFonts w:eastAsia="仿宋_GB2312"/>
          <w:color w:val="000000"/>
          <w:kern w:val="0"/>
          <w:sz w:val="32"/>
          <w:szCs w:val="32"/>
        </w:rPr>
        <w:t>工程总投资按每平方米征收基数乘以总建筑面积计算，现</w:t>
      </w:r>
      <w:r>
        <w:rPr>
          <w:rFonts w:hint="default" w:ascii="Times New Roman" w:hAnsi="Times New Roman" w:eastAsia="仿宋_GB2312" w:cs="Times New Roman"/>
          <w:color w:val="000000"/>
          <w:kern w:val="0"/>
          <w:sz w:val="32"/>
          <w:szCs w:val="32"/>
        </w:rPr>
        <w:t>将我市核定的每平方征收基数及操作意见通知如下：</w:t>
      </w:r>
    </w:p>
    <w:p w14:paraId="1AFD8C29">
      <w:pPr>
        <w:keepNext w:val="0"/>
        <w:keepLines w:val="0"/>
        <w:pageBreakBefore w:val="0"/>
        <w:widowControl/>
        <w:kinsoku/>
        <w:wordWrap/>
        <w:overflowPunct/>
        <w:topLinePunct w:val="0"/>
        <w:autoSpaceDE/>
        <w:autoSpaceDN/>
        <w:bidi w:val="0"/>
        <w:adjustRightInd/>
        <w:snapToGrid/>
        <w:spacing w:line="560" w:lineRule="exact"/>
        <w:ind w:firstLine="624"/>
        <w:jc w:val="both"/>
        <w:textAlignment w:val="auto"/>
        <w:rPr>
          <w:rFonts w:hint="default" w:ascii="Times New Roman" w:hAnsi="Times New Roman" w:eastAsia="仿宋_GB2312" w:cs="Times New Roman"/>
          <w:color w:val="000000"/>
          <w:w w:val="99"/>
          <w:kern w:val="0"/>
          <w:sz w:val="32"/>
          <w:szCs w:val="32"/>
        </w:rPr>
      </w:pPr>
      <w:r>
        <w:rPr>
          <w:rFonts w:hint="default" w:ascii="Times New Roman" w:hAnsi="Times New Roman" w:eastAsia="黑体" w:cs="Times New Roman"/>
          <w:color w:val="000000"/>
          <w:kern w:val="0"/>
          <w:sz w:val="32"/>
          <w:szCs w:val="32"/>
        </w:rPr>
        <w:t>一、</w:t>
      </w:r>
      <w:r>
        <w:rPr>
          <w:rFonts w:hint="default" w:ascii="Times New Roman" w:hAnsi="Times New Roman" w:eastAsia="仿宋_GB2312" w:cs="Times New Roman"/>
          <w:color w:val="000000"/>
          <w:w w:val="99"/>
          <w:kern w:val="0"/>
          <w:sz w:val="32"/>
          <w:szCs w:val="32"/>
        </w:rPr>
        <w:t>配套费按新建、扩建工程总投资的3%收取，工程总投资按每平方米征收基数乘以总建筑面积计算。每平方米征收基数为：</w:t>
      </w:r>
    </w:p>
    <w:p w14:paraId="54E33912">
      <w:pPr>
        <w:keepNext w:val="0"/>
        <w:keepLines w:val="0"/>
        <w:pageBreakBefore w:val="0"/>
        <w:widowControl/>
        <w:kinsoku/>
        <w:wordWrap/>
        <w:overflowPunct/>
        <w:topLinePunct w:val="0"/>
        <w:autoSpaceDE/>
        <w:autoSpaceDN/>
        <w:bidi w:val="0"/>
        <w:adjustRightInd/>
        <w:snapToGrid/>
        <w:spacing w:line="560" w:lineRule="exact"/>
        <w:ind w:firstLine="5744" w:firstLineChars="1795"/>
        <w:jc w:val="left"/>
        <w:textAlignment w:val="auto"/>
        <w:rPr>
          <w:rFonts w:eastAsia="仿宋_GB2312"/>
          <w:color w:val="000000"/>
          <w:kern w:val="0"/>
          <w:sz w:val="32"/>
          <w:szCs w:val="32"/>
        </w:rPr>
      </w:pPr>
      <w:r>
        <w:rPr>
          <w:rFonts w:hint="eastAsia" w:eastAsia="仿宋_GB2312"/>
          <w:color w:val="000000"/>
          <w:kern w:val="0"/>
          <w:sz w:val="32"/>
          <w:szCs w:val="32"/>
        </w:rPr>
        <w:t>单位：（元/平方米）</w:t>
      </w:r>
    </w:p>
    <w:tbl>
      <w:tblPr>
        <w:tblStyle w:val="2"/>
        <w:tblW w:w="8820" w:type="dxa"/>
        <w:tblInd w:w="108" w:type="dxa"/>
        <w:tblLayout w:type="fixed"/>
        <w:tblCellMar>
          <w:top w:w="0" w:type="dxa"/>
          <w:left w:w="0" w:type="dxa"/>
          <w:bottom w:w="0" w:type="dxa"/>
          <w:right w:w="0" w:type="dxa"/>
        </w:tblCellMar>
      </w:tblPr>
      <w:tblGrid>
        <w:gridCol w:w="1567"/>
        <w:gridCol w:w="2390"/>
        <w:gridCol w:w="2325"/>
        <w:gridCol w:w="1545"/>
        <w:gridCol w:w="993"/>
      </w:tblGrid>
      <w:tr w14:paraId="5DC3C424">
        <w:trPr>
          <w:trHeight w:val="1248" w:hRule="atLeast"/>
        </w:trPr>
        <w:tc>
          <w:tcPr>
            <w:tcW w:w="1567" w:type="dxa"/>
            <w:tcBorders>
              <w:top w:val="single" w:color="auto" w:sz="4" w:space="0"/>
              <w:left w:val="single" w:color="auto" w:sz="4" w:space="0"/>
              <w:bottom w:val="single" w:color="auto" w:sz="4" w:space="0"/>
              <w:right w:val="single" w:color="auto" w:sz="4" w:space="0"/>
              <w:tl2br w:val="single" w:color="auto" w:sz="4" w:space="0"/>
            </w:tcBorders>
            <w:noWrap w:val="0"/>
            <w:tcMar>
              <w:top w:w="0" w:type="dxa"/>
              <w:left w:w="108" w:type="dxa"/>
              <w:bottom w:w="0" w:type="dxa"/>
              <w:right w:w="108" w:type="dxa"/>
            </w:tcMar>
            <w:vAlign w:val="center"/>
          </w:tcPr>
          <w:p w14:paraId="18C3EE95">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kern w:val="0"/>
                <w:sz w:val="18"/>
                <w:szCs w:val="18"/>
              </w:rPr>
            </w:pPr>
            <w:r>
              <w:rPr>
                <w:rFonts w:eastAsia="方正仿宋_GBK"/>
                <w:b/>
                <w:bCs/>
                <w:color w:val="000000"/>
                <w:spacing w:val="-20"/>
                <w:kern w:val="0"/>
                <w:sz w:val="22"/>
                <w:szCs w:val="22"/>
              </w:rPr>
              <w:t xml:space="preserve">        项目类型</w:t>
            </w:r>
          </w:p>
          <w:p w14:paraId="2965D104">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kern w:val="0"/>
                <w:sz w:val="18"/>
                <w:szCs w:val="18"/>
              </w:rPr>
            </w:pPr>
            <w:r>
              <w:rPr>
                <w:rFonts w:eastAsia="方正仿宋_GBK"/>
                <w:b/>
                <w:bCs/>
                <w:color w:val="000000"/>
                <w:spacing w:val="-20"/>
                <w:kern w:val="0"/>
                <w:sz w:val="22"/>
                <w:szCs w:val="22"/>
              </w:rPr>
              <w:t>征收基数</w:t>
            </w:r>
          </w:p>
        </w:tc>
        <w:tc>
          <w:tcPr>
            <w:tcW w:w="23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0EF59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高层住宅、综合楼、教学楼、写字楼、办公楼 </w:t>
            </w:r>
          </w:p>
        </w:tc>
        <w:tc>
          <w:tcPr>
            <w:tcW w:w="23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130774">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小高层住宅、综合楼、教学楼、写字楼、办公楼</w:t>
            </w:r>
          </w:p>
        </w:tc>
        <w:tc>
          <w:tcPr>
            <w:tcW w:w="15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4E3CB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多层住宅</w:t>
            </w: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170A5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低层住宅</w:t>
            </w:r>
          </w:p>
        </w:tc>
      </w:tr>
      <w:tr w14:paraId="2C1760FD">
        <w:tblPrEx>
          <w:tblCellMar>
            <w:top w:w="0" w:type="dxa"/>
            <w:left w:w="0" w:type="dxa"/>
            <w:bottom w:w="0" w:type="dxa"/>
            <w:right w:w="0" w:type="dxa"/>
          </w:tblCellMar>
        </w:tblPrEx>
        <w:trPr>
          <w:trHeight w:val="90" w:hRule="atLeast"/>
        </w:trPr>
        <w:tc>
          <w:tcPr>
            <w:tcW w:w="15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C80678">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kern w:val="0"/>
                <w:sz w:val="18"/>
                <w:szCs w:val="18"/>
              </w:rPr>
            </w:pPr>
            <w:r>
              <w:rPr>
                <w:rFonts w:eastAsia="方正仿宋_GBK"/>
                <w:b/>
                <w:bCs/>
                <w:color w:val="000000"/>
                <w:kern w:val="0"/>
                <w:sz w:val="22"/>
                <w:szCs w:val="22"/>
              </w:rPr>
              <w:t>征收基数</w:t>
            </w:r>
          </w:p>
        </w:tc>
        <w:tc>
          <w:tcPr>
            <w:tcW w:w="23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2F51B1">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kern w:val="0"/>
                <w:sz w:val="28"/>
                <w:szCs w:val="28"/>
              </w:rPr>
            </w:pPr>
            <w:r>
              <w:rPr>
                <w:color w:val="000000"/>
                <w:kern w:val="0"/>
                <w:sz w:val="28"/>
                <w:szCs w:val="28"/>
              </w:rPr>
              <w:t>2860</w:t>
            </w:r>
          </w:p>
        </w:tc>
        <w:tc>
          <w:tcPr>
            <w:tcW w:w="23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3D62A5">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kern w:val="0"/>
                <w:sz w:val="28"/>
                <w:szCs w:val="28"/>
              </w:rPr>
            </w:pPr>
            <w:r>
              <w:rPr>
                <w:color w:val="000000"/>
                <w:kern w:val="0"/>
                <w:sz w:val="28"/>
                <w:szCs w:val="28"/>
              </w:rPr>
              <w:t>2508</w:t>
            </w:r>
          </w:p>
        </w:tc>
        <w:tc>
          <w:tcPr>
            <w:tcW w:w="15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D576D3">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kern w:val="0"/>
                <w:sz w:val="28"/>
                <w:szCs w:val="28"/>
              </w:rPr>
            </w:pPr>
            <w:r>
              <w:rPr>
                <w:color w:val="000000"/>
                <w:kern w:val="0"/>
                <w:sz w:val="28"/>
                <w:szCs w:val="28"/>
              </w:rPr>
              <w:t>2249</w:t>
            </w: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6AB940E">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kern w:val="0"/>
                <w:sz w:val="28"/>
                <w:szCs w:val="28"/>
              </w:rPr>
            </w:pPr>
            <w:r>
              <w:rPr>
                <w:color w:val="000000"/>
                <w:kern w:val="0"/>
                <w:sz w:val="28"/>
                <w:szCs w:val="28"/>
              </w:rPr>
              <w:t>3160</w:t>
            </w:r>
          </w:p>
        </w:tc>
      </w:tr>
      <w:tr w14:paraId="2E984A51">
        <w:tblPrEx>
          <w:tblCellMar>
            <w:top w:w="0" w:type="dxa"/>
            <w:left w:w="0" w:type="dxa"/>
            <w:bottom w:w="0" w:type="dxa"/>
            <w:right w:w="0" w:type="dxa"/>
          </w:tblCellMar>
        </w:tblPrEx>
        <w:trPr>
          <w:trHeight w:val="738" w:hRule="atLeast"/>
        </w:trPr>
        <w:tc>
          <w:tcPr>
            <w:tcW w:w="1567" w:type="dxa"/>
            <w:tcBorders>
              <w:top w:val="single" w:color="auto" w:sz="4" w:space="0"/>
              <w:left w:val="single" w:color="auto" w:sz="4" w:space="0"/>
              <w:bottom w:val="single" w:color="auto" w:sz="4" w:space="0"/>
              <w:right w:val="single" w:color="auto" w:sz="4" w:space="0"/>
              <w:tl2br w:val="single" w:color="auto" w:sz="4" w:space="0"/>
            </w:tcBorders>
            <w:noWrap w:val="0"/>
            <w:tcMar>
              <w:top w:w="0" w:type="dxa"/>
              <w:left w:w="108" w:type="dxa"/>
              <w:bottom w:w="0" w:type="dxa"/>
              <w:right w:w="108" w:type="dxa"/>
            </w:tcMar>
            <w:vAlign w:val="center"/>
          </w:tcPr>
          <w:p w14:paraId="643621DE">
            <w:pPr>
              <w:keepNext w:val="0"/>
              <w:keepLines w:val="0"/>
              <w:pageBreakBefore w:val="0"/>
              <w:widowControl/>
              <w:kinsoku/>
              <w:wordWrap/>
              <w:overflowPunct/>
              <w:topLinePunct w:val="0"/>
              <w:autoSpaceDE/>
              <w:autoSpaceDN/>
              <w:bidi w:val="0"/>
              <w:adjustRightInd/>
              <w:snapToGrid/>
              <w:spacing w:line="480" w:lineRule="exact"/>
              <w:ind w:firstLine="543" w:firstLineChars="300"/>
              <w:jc w:val="left"/>
              <w:textAlignment w:val="auto"/>
              <w:rPr>
                <w:rFonts w:eastAsia="方正仿宋_GBK"/>
                <w:b/>
                <w:bCs/>
                <w:color w:val="000000"/>
                <w:spacing w:val="-20"/>
                <w:kern w:val="0"/>
                <w:sz w:val="22"/>
                <w:szCs w:val="22"/>
              </w:rPr>
            </w:pPr>
            <w:r>
              <w:rPr>
                <w:rFonts w:eastAsia="方正仿宋_GBK"/>
                <w:b/>
                <w:bCs/>
                <w:color w:val="000000"/>
                <w:spacing w:val="-20"/>
                <w:kern w:val="0"/>
                <w:sz w:val="22"/>
                <w:szCs w:val="22"/>
              </w:rPr>
              <w:t>项目类型</w:t>
            </w:r>
          </w:p>
          <w:p w14:paraId="05CF729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eastAsia="方正仿宋_GBK"/>
                <w:b/>
                <w:bCs/>
                <w:color w:val="000000"/>
                <w:spacing w:val="-20"/>
                <w:kern w:val="0"/>
                <w:sz w:val="22"/>
                <w:szCs w:val="22"/>
              </w:rPr>
            </w:pPr>
          </w:p>
          <w:p w14:paraId="1FBF401F">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kern w:val="0"/>
                <w:sz w:val="18"/>
                <w:szCs w:val="18"/>
              </w:rPr>
            </w:pPr>
            <w:r>
              <w:rPr>
                <w:rFonts w:eastAsia="方正仿宋_GBK"/>
                <w:b/>
                <w:bCs/>
                <w:color w:val="000000"/>
                <w:spacing w:val="-20"/>
                <w:kern w:val="0"/>
                <w:sz w:val="22"/>
                <w:szCs w:val="22"/>
              </w:rPr>
              <w:t>征收基数</w:t>
            </w:r>
          </w:p>
        </w:tc>
        <w:tc>
          <w:tcPr>
            <w:tcW w:w="23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BC9263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多层综合楼、教学楼、写字楼、办公楼</w:t>
            </w:r>
          </w:p>
        </w:tc>
        <w:tc>
          <w:tcPr>
            <w:tcW w:w="23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47C28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多层工业厂房</w:t>
            </w:r>
          </w:p>
        </w:tc>
        <w:tc>
          <w:tcPr>
            <w:tcW w:w="15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598329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color w:val="000000"/>
                <w:kern w:val="0"/>
                <w:sz w:val="30"/>
                <w:szCs w:val="30"/>
              </w:rPr>
            </w:pPr>
            <w:r>
              <w:rPr>
                <w:rFonts w:hint="eastAsia" w:ascii="Times New Roman" w:hAnsi="Times New Roman" w:eastAsia="仿宋_GB2312" w:cs="Times New Roman"/>
                <w:color w:val="000000"/>
                <w:kern w:val="0"/>
                <w:sz w:val="30"/>
                <w:szCs w:val="30"/>
              </w:rPr>
              <w:t>多层大开间仓储、实验用房</w:t>
            </w: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9B7DDF4">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kern w:val="0"/>
                <w:sz w:val="28"/>
                <w:szCs w:val="28"/>
              </w:rPr>
            </w:pPr>
          </w:p>
        </w:tc>
      </w:tr>
      <w:tr w14:paraId="7C1FBC94">
        <w:tblPrEx>
          <w:tblCellMar>
            <w:top w:w="0" w:type="dxa"/>
            <w:left w:w="0" w:type="dxa"/>
            <w:bottom w:w="0" w:type="dxa"/>
            <w:right w:w="0" w:type="dxa"/>
          </w:tblCellMar>
        </w:tblPrEx>
        <w:trPr>
          <w:gridAfter w:val="1"/>
          <w:wAfter w:w="993" w:type="dxa"/>
          <w:trHeight w:val="569" w:hRule="atLeast"/>
        </w:trPr>
        <w:tc>
          <w:tcPr>
            <w:tcW w:w="15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B920286">
            <w:pPr>
              <w:keepNext w:val="0"/>
              <w:keepLines w:val="0"/>
              <w:pageBreakBefore w:val="0"/>
              <w:widowControl/>
              <w:kinsoku/>
              <w:wordWrap/>
              <w:overflowPunct/>
              <w:topLinePunct w:val="0"/>
              <w:autoSpaceDE/>
              <w:autoSpaceDN/>
              <w:bidi w:val="0"/>
              <w:adjustRightInd/>
              <w:snapToGrid/>
              <w:spacing w:line="480" w:lineRule="exact"/>
              <w:jc w:val="left"/>
              <w:textAlignment w:val="auto"/>
              <w:rPr>
                <w:color w:val="000000"/>
                <w:kern w:val="0"/>
                <w:sz w:val="18"/>
                <w:szCs w:val="18"/>
              </w:rPr>
            </w:pPr>
            <w:r>
              <w:rPr>
                <w:rFonts w:eastAsia="方正仿宋_GBK"/>
                <w:b/>
                <w:bCs/>
                <w:color w:val="000000"/>
                <w:kern w:val="0"/>
                <w:sz w:val="22"/>
                <w:szCs w:val="22"/>
              </w:rPr>
              <w:t>征收基数</w:t>
            </w:r>
          </w:p>
        </w:tc>
        <w:tc>
          <w:tcPr>
            <w:tcW w:w="239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94C013">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kern w:val="0"/>
                <w:sz w:val="28"/>
                <w:szCs w:val="28"/>
              </w:rPr>
            </w:pPr>
            <w:r>
              <w:rPr>
                <w:color w:val="000000"/>
                <w:kern w:val="0"/>
                <w:sz w:val="28"/>
                <w:szCs w:val="28"/>
              </w:rPr>
              <w:t>3109</w:t>
            </w:r>
          </w:p>
        </w:tc>
        <w:tc>
          <w:tcPr>
            <w:tcW w:w="23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3C7D93">
            <w:pPr>
              <w:keepNext w:val="0"/>
              <w:keepLines w:val="0"/>
              <w:pageBreakBefore w:val="0"/>
              <w:widowControl/>
              <w:kinsoku/>
              <w:wordWrap/>
              <w:overflowPunct/>
              <w:topLinePunct w:val="0"/>
              <w:autoSpaceDE/>
              <w:autoSpaceDN/>
              <w:bidi w:val="0"/>
              <w:adjustRightInd/>
              <w:snapToGrid/>
              <w:spacing w:line="480" w:lineRule="exact"/>
              <w:jc w:val="center"/>
              <w:textAlignment w:val="auto"/>
              <w:rPr>
                <w:color w:val="000000"/>
                <w:kern w:val="0"/>
                <w:sz w:val="28"/>
                <w:szCs w:val="28"/>
              </w:rPr>
            </w:pPr>
            <w:r>
              <w:rPr>
                <w:color w:val="000000"/>
                <w:kern w:val="0"/>
                <w:sz w:val="28"/>
                <w:szCs w:val="28"/>
              </w:rPr>
              <w:t>2126</w:t>
            </w:r>
          </w:p>
        </w:tc>
        <w:tc>
          <w:tcPr>
            <w:tcW w:w="15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C29E90">
            <w:pPr>
              <w:keepNext w:val="0"/>
              <w:keepLines w:val="0"/>
              <w:pageBreakBefore w:val="0"/>
              <w:widowControl/>
              <w:kinsoku/>
              <w:wordWrap/>
              <w:overflowPunct/>
              <w:topLinePunct w:val="0"/>
              <w:autoSpaceDE/>
              <w:autoSpaceDN/>
              <w:bidi w:val="0"/>
              <w:adjustRightInd/>
              <w:snapToGrid/>
              <w:spacing w:line="480" w:lineRule="exact"/>
              <w:ind w:firstLine="440"/>
              <w:jc w:val="left"/>
              <w:textAlignment w:val="auto"/>
              <w:rPr>
                <w:color w:val="000000"/>
                <w:kern w:val="0"/>
                <w:sz w:val="28"/>
                <w:szCs w:val="28"/>
              </w:rPr>
            </w:pPr>
            <w:r>
              <w:rPr>
                <w:color w:val="000000"/>
                <w:kern w:val="0"/>
                <w:sz w:val="28"/>
                <w:szCs w:val="28"/>
              </w:rPr>
              <w:t>2688</w:t>
            </w:r>
          </w:p>
        </w:tc>
      </w:tr>
    </w:tbl>
    <w:p w14:paraId="2193E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二、配套费按以下规定计征</w:t>
      </w:r>
    </w:p>
    <w:p w14:paraId="393097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（一）配套费按单项工程项目类型确定征收基数。单项工程指在一个建设工程项目中，具有独立的设计文件，竣工后能独立发挥生产能力或功能的工程项目。</w:t>
      </w:r>
    </w:p>
    <w:p w14:paraId="5742D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单项工程由不同层数、使用性质的部位构成的，按建筑面积最大的部位对应的征收基数乘以单项工程建筑面积计征配套费。</w:t>
      </w:r>
    </w:p>
    <w:p w14:paraId="17268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征收基数包括单项工程建设包括的建筑、安装、装饰装修、给排水、电气、消防、通风、电梯、楼宇智能等工程及用地红线范围内室外水、电、暖、场坪道路及绿化等工程内容。建设单位在单项工程主体工程开工之前，应当按规定缴清配套费。</w:t>
      </w:r>
    </w:p>
    <w:p w14:paraId="39AAD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（二）按层数将项目分为7层（含7层）以下为多层项目、8-17层（含17层）为小高层项目、18层及以上为高层项目。</w:t>
      </w:r>
    </w:p>
    <w:p w14:paraId="6B7BFB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（三）按使用性质将项目分为住宅、别墅、综合楼、教学楼、写字楼、办公楼、工业厂房、大开间仓储实验用房等，使用性质依据发改委立项批复或备案文件确定。</w:t>
      </w:r>
    </w:p>
    <w:p w14:paraId="25DA4B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（四）层数、建筑面积以《施工项目审图批准书》、《施工图设计文件审查合格书》、《建设工程施工合同》中的“层数”及“建筑面积”确定。</w:t>
      </w:r>
    </w:p>
    <w:p w14:paraId="2BB8D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（五）工业项目指将原材料经物理变化或化学变化后成为新产品的工程项目，包括动力机械制造及手工制作。按发改委立项批复（备案）或</w:t>
      </w:r>
      <w:r>
        <w:rPr>
          <w:rFonts w:hint="eastAsia" w:ascii="Times New Roman" w:hAnsi="Times New Roman" w:eastAsia="仿宋_GB2312" w:cs="Times New Roman"/>
          <w:color w:val="000000"/>
          <w:kern w:val="0"/>
          <w:sz w:val="32"/>
          <w:szCs w:val="32"/>
          <w:lang w:eastAsia="zh-CN"/>
        </w:rPr>
        <w:t>自规局</w:t>
      </w:r>
      <w:r>
        <w:rPr>
          <w:rFonts w:hint="default" w:ascii="Times New Roman" w:hAnsi="Times New Roman" w:eastAsia="仿宋_GB2312" w:cs="Times New Roman"/>
          <w:color w:val="000000"/>
          <w:kern w:val="0"/>
          <w:sz w:val="32"/>
          <w:szCs w:val="32"/>
        </w:rPr>
        <w:t>土地批准书相关内容确定。工业厂房征收基数仅作为工业厂房计征配套费的依据，工业项目所需行政办公及生活服务设施的配套费征收基数按相应使用性质及建筑类别确定。</w:t>
      </w:r>
    </w:p>
    <w:p w14:paraId="7EEE7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 “每平方米征收基数”表中没有相应类别的工程按签约合同价的3%计征配套费。</w:t>
      </w:r>
    </w:p>
    <w:p w14:paraId="034F8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color w:val="000000"/>
          <w:kern w:val="0"/>
          <w:sz w:val="32"/>
          <w:szCs w:val="32"/>
        </w:rPr>
        <w:t>三、</w:t>
      </w:r>
      <w:r>
        <w:rPr>
          <w:rFonts w:hint="default" w:ascii="Times New Roman" w:hAnsi="Times New Roman" w:eastAsia="仿宋_GB2312" w:cs="Times New Roman"/>
          <w:color w:val="000000"/>
          <w:kern w:val="0"/>
          <w:sz w:val="32"/>
          <w:szCs w:val="32"/>
        </w:rPr>
        <w:t>根据社会经济发展情况，“每平方米征收基数”根据相关部门发布的有关市场信息适时予以调整。</w:t>
      </w:r>
    </w:p>
    <w:p w14:paraId="08523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color w:val="000000"/>
          <w:kern w:val="0"/>
          <w:sz w:val="32"/>
          <w:szCs w:val="32"/>
        </w:rPr>
        <w:t>四、</w:t>
      </w:r>
      <w:r>
        <w:rPr>
          <w:rFonts w:hint="default" w:ascii="Times New Roman" w:hAnsi="Times New Roman" w:eastAsia="仿宋_GB2312" w:cs="Times New Roman"/>
          <w:color w:val="000000"/>
          <w:kern w:val="0"/>
          <w:sz w:val="32"/>
          <w:szCs w:val="32"/>
        </w:rPr>
        <w:t>本通知自20</w:t>
      </w:r>
      <w:r>
        <w:rPr>
          <w:rFonts w:hint="eastAsia" w:ascii="Times New Roman" w:hAnsi="Times New Roman" w:eastAsia="仿宋_GB2312" w:cs="Times New Roman"/>
          <w:color w:val="000000"/>
          <w:kern w:val="0"/>
          <w:sz w:val="32"/>
          <w:szCs w:val="32"/>
          <w:lang w:val="en-US" w:eastAsia="zh-CN"/>
        </w:rPr>
        <w:t>24</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日起施行。</w:t>
      </w:r>
    </w:p>
    <w:p w14:paraId="4048110E">
      <w:pPr>
        <w:spacing w:line="580" w:lineRule="exact"/>
        <w:rPr>
          <w:sz w:val="32"/>
          <w:szCs w:val="32"/>
        </w:rPr>
      </w:pPr>
    </w:p>
    <w:p w14:paraId="6F3A356A">
      <w:pPr>
        <w:spacing w:line="580" w:lineRule="exact"/>
        <w:rPr>
          <w:rFonts w:hint="eastAsia" w:eastAsia="仿宋_GB2312"/>
          <w:sz w:val="32"/>
          <w:szCs w:val="32"/>
          <w:lang w:val="en-US" w:eastAsia="zh-CN"/>
        </w:rPr>
      </w:pPr>
      <w:r>
        <w:rPr>
          <w:rFonts w:hint="eastAsia" w:eastAsia="仿宋_GB2312"/>
          <w:sz w:val="32"/>
          <w:szCs w:val="32"/>
          <w:lang w:val="en-US" w:eastAsia="zh-CN"/>
        </w:rPr>
        <w:t xml:space="preserve"> </w:t>
      </w:r>
    </w:p>
    <w:p w14:paraId="45AE62F4">
      <w:pPr>
        <w:spacing w:line="580" w:lineRule="exact"/>
        <w:rPr>
          <w:rFonts w:hint="default" w:eastAsia="仿宋_GB2312"/>
          <w:sz w:val="32"/>
          <w:szCs w:val="32"/>
          <w:lang w:val="en-US" w:eastAsia="zh-CN"/>
        </w:rPr>
      </w:pPr>
    </w:p>
    <w:p w14:paraId="1FB62217">
      <w:pPr>
        <w:spacing w:line="580" w:lineRule="exact"/>
        <w:ind w:firstLine="640" w:firstLineChars="200"/>
        <w:rPr>
          <w:rFonts w:hint="default" w:eastAsia="仿宋_GB2312"/>
          <w:sz w:val="32"/>
          <w:szCs w:val="32"/>
          <w:lang w:val="en-US" w:eastAsia="zh-CN"/>
        </w:rPr>
      </w:pPr>
      <w:r>
        <w:rPr>
          <w:rFonts w:hint="eastAsia" w:eastAsia="仿宋_GB2312"/>
          <w:sz w:val="32"/>
          <w:szCs w:val="32"/>
          <w:lang w:eastAsia="zh-CN"/>
        </w:rPr>
        <w:t>师市发展和改革委员会</w:t>
      </w:r>
      <w:r>
        <w:rPr>
          <w:rFonts w:hint="eastAsia" w:eastAsia="仿宋_GB2312"/>
          <w:sz w:val="32"/>
          <w:szCs w:val="32"/>
          <w:lang w:val="en-US" w:eastAsia="zh-CN"/>
        </w:rPr>
        <w:t xml:space="preserve">          师市</w:t>
      </w:r>
      <w:r>
        <w:rPr>
          <w:rFonts w:hint="eastAsia" w:eastAsia="仿宋_GB2312"/>
          <w:sz w:val="32"/>
          <w:szCs w:val="32"/>
          <w:lang w:eastAsia="zh-CN"/>
        </w:rPr>
        <w:t>住房和城乡建设局</w:t>
      </w:r>
    </w:p>
    <w:p w14:paraId="6BD56964">
      <w:pPr>
        <w:spacing w:line="580" w:lineRule="exact"/>
        <w:ind w:firstLine="5574" w:firstLineChars="1742"/>
        <w:rPr>
          <w:rFonts w:hint="eastAsia" w:eastAsia="仿宋_GB2312"/>
          <w:sz w:val="32"/>
          <w:szCs w:val="32"/>
          <w:lang w:eastAsia="zh-CN"/>
        </w:rPr>
      </w:pPr>
    </w:p>
    <w:p w14:paraId="7EC01BF8">
      <w:pPr>
        <w:spacing w:line="580" w:lineRule="exact"/>
        <w:ind w:firstLine="5894" w:firstLineChars="1842"/>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w:t>
      </w:r>
      <w:r>
        <w:rPr>
          <w:rFonts w:eastAsia="仿宋_GB2312"/>
          <w:sz w:val="32"/>
          <w:szCs w:val="32"/>
        </w:rPr>
        <w:t>月</w:t>
      </w:r>
      <w:r>
        <w:rPr>
          <w:rFonts w:hint="eastAsia" w:eastAsia="仿宋_GB2312"/>
          <w:sz w:val="32"/>
          <w:szCs w:val="32"/>
          <w:lang w:val="en-US" w:eastAsia="zh-CN"/>
        </w:rPr>
        <w:t>**</w:t>
      </w:r>
      <w:r>
        <w:rPr>
          <w:rFonts w:eastAsia="仿宋_GB2312"/>
          <w:sz w:val="32"/>
          <w:szCs w:val="32"/>
        </w:rPr>
        <w:t>日</w:t>
      </w:r>
    </w:p>
    <w:p w14:paraId="6C5FF07F"/>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jY4NmRhMDliZWJkYzYzYjEzZTAwNzJhOWVlMzQifQ=="/>
  </w:docVars>
  <w:rsids>
    <w:rsidRoot w:val="00000000"/>
    <w:rsid w:val="0999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2024-08-15T09:59:02Z</dcterms:created>
  <dc:creator>Administrator</dc:creator>
  <cp:lastModifiedBy>Administrator</cp:lastModifiedBy>
  <dcterms:modified xsi:type="dcterms:W3CDTF">2024-08-15T10:00:13Z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474D55C7FA8544F380C6EDEEF9EF2719_13</vt:lpwstr>
  </property>
</Properties>
</file>